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FA6C6" w14:textId="0BE27D86" w:rsidR="001B6C48" w:rsidRDefault="00CF6EBC" w:rsidP="001B6C48">
      <w:pPr>
        <w:ind w:firstLine="0"/>
        <w:rPr>
          <w:b/>
          <w:bCs/>
          <w:sz w:val="20"/>
          <w:szCs w:val="20"/>
        </w:rPr>
      </w:pPr>
      <w:r w:rsidRPr="00CF6EBC">
        <w:rPr>
          <w:b/>
          <w:bCs/>
          <w:sz w:val="20"/>
          <w:szCs w:val="20"/>
        </w:rPr>
        <w:t xml:space="preserve">DĖL </w:t>
      </w:r>
      <w:r w:rsidR="001B6C48" w:rsidRPr="001B6C48">
        <w:rPr>
          <w:b/>
          <w:bCs/>
          <w:sz w:val="20"/>
          <w:szCs w:val="20"/>
        </w:rPr>
        <w:t>TERITORIJOS TARP SENOSIOS SMILTELĖS G., MARIŲ G., SKIRVYTĖS G., KLAIPĖDOS VALSTYBINIO JŪRŲ UOSTO TERITORIJOS RIBOS,</w:t>
      </w:r>
      <w:r w:rsidR="001B6C48">
        <w:rPr>
          <w:b/>
          <w:bCs/>
          <w:sz w:val="20"/>
          <w:szCs w:val="20"/>
        </w:rPr>
        <w:t xml:space="preserve"> </w:t>
      </w:r>
      <w:r w:rsidR="001B6C48" w:rsidRPr="001B6C48">
        <w:rPr>
          <w:b/>
          <w:bCs/>
          <w:sz w:val="20"/>
          <w:szCs w:val="20"/>
        </w:rPr>
        <w:t>UPELIO G. IR MINIJOS G., KLAIPĖDOJE, DETALIOJO PLANO, PATVIRTINTO KLAIPĖDOS MIESTO SAVIVALDYBĖS ADMINISTRACIJOS</w:t>
      </w:r>
      <w:r w:rsidR="001B6C48">
        <w:rPr>
          <w:b/>
          <w:bCs/>
          <w:sz w:val="20"/>
          <w:szCs w:val="20"/>
        </w:rPr>
        <w:t xml:space="preserve"> </w:t>
      </w:r>
      <w:r w:rsidR="001B6C48" w:rsidRPr="001B6C48">
        <w:rPr>
          <w:b/>
          <w:bCs/>
          <w:sz w:val="20"/>
          <w:szCs w:val="20"/>
        </w:rPr>
        <w:t>DIREKTORIAUS 2014 M. LAPKRIČIO 17 D. ĮSAKYMU NR. AD1-3445 „DĖL TERITORIJOS TARP SENOSIOS SMILTELĖS G., MARIŲ G.,</w:t>
      </w:r>
      <w:r w:rsidR="001B6C48">
        <w:rPr>
          <w:b/>
          <w:bCs/>
          <w:sz w:val="20"/>
          <w:szCs w:val="20"/>
        </w:rPr>
        <w:t xml:space="preserve"> </w:t>
      </w:r>
      <w:r w:rsidR="001B6C48" w:rsidRPr="001B6C48">
        <w:rPr>
          <w:b/>
          <w:bCs/>
          <w:sz w:val="20"/>
          <w:szCs w:val="20"/>
        </w:rPr>
        <w:t>SKIRVYTĖS G., KLAIPĖDOS VALSTYBINIO JŪRŲ UOSTO TERITORIJOS RIBOS, UPELIO G. IR MINIJOS G., KLAIPĖDOJE, DETALIOJO PLANO</w:t>
      </w:r>
      <w:r w:rsidR="001B6C48">
        <w:rPr>
          <w:b/>
          <w:bCs/>
          <w:sz w:val="20"/>
          <w:szCs w:val="20"/>
        </w:rPr>
        <w:t xml:space="preserve"> </w:t>
      </w:r>
      <w:r w:rsidR="001B6C48" w:rsidRPr="001B6C48">
        <w:rPr>
          <w:b/>
          <w:bCs/>
          <w:sz w:val="20"/>
          <w:szCs w:val="20"/>
        </w:rPr>
        <w:t>PATVIRTINIMO“, KOREKTŪR</w:t>
      </w:r>
      <w:r w:rsidR="001B6C48">
        <w:rPr>
          <w:b/>
          <w:bCs/>
          <w:sz w:val="20"/>
          <w:szCs w:val="20"/>
        </w:rPr>
        <w:t>OS</w:t>
      </w:r>
      <w:r w:rsidR="001B6C48" w:rsidRPr="001B6C48">
        <w:rPr>
          <w:b/>
          <w:bCs/>
          <w:sz w:val="20"/>
          <w:szCs w:val="20"/>
        </w:rPr>
        <w:t xml:space="preserve"> SUPLANUOTOS TERITORIJOS DALYJE – ŽEMĖS SKLYPUI SENOSIOS SMILTELĖS G. 6B</w:t>
      </w:r>
      <w:r w:rsidR="001B6C48">
        <w:rPr>
          <w:b/>
          <w:bCs/>
          <w:sz w:val="20"/>
          <w:szCs w:val="20"/>
        </w:rPr>
        <w:t xml:space="preserve"> (</w:t>
      </w:r>
      <w:r w:rsidR="001B6C48" w:rsidRPr="001B6C48">
        <w:rPr>
          <w:b/>
          <w:bCs/>
          <w:sz w:val="20"/>
          <w:szCs w:val="20"/>
        </w:rPr>
        <w:t>TPD Nr.</w:t>
      </w:r>
      <w:r w:rsidR="001B6C48">
        <w:rPr>
          <w:b/>
          <w:bCs/>
          <w:sz w:val="20"/>
          <w:szCs w:val="20"/>
        </w:rPr>
        <w:t xml:space="preserve"> </w:t>
      </w:r>
      <w:r w:rsidR="001B6C48" w:rsidRPr="001B6C48">
        <w:rPr>
          <w:b/>
          <w:bCs/>
          <w:sz w:val="20"/>
          <w:szCs w:val="20"/>
        </w:rPr>
        <w:t>K-VT-21-23-221</w:t>
      </w:r>
      <w:r w:rsidR="001B6C48">
        <w:rPr>
          <w:b/>
          <w:bCs/>
          <w:sz w:val="20"/>
          <w:szCs w:val="20"/>
        </w:rPr>
        <w:t xml:space="preserve">) </w:t>
      </w:r>
      <w:r w:rsidRPr="00CF6EBC">
        <w:rPr>
          <w:b/>
          <w:bCs/>
          <w:sz w:val="20"/>
          <w:szCs w:val="20"/>
        </w:rPr>
        <w:t>SPRENDINIŲ DERINIMO</w:t>
      </w:r>
      <w:r w:rsidRPr="00CF6EBC">
        <w:rPr>
          <w:b/>
          <w:bCs/>
          <w:sz w:val="20"/>
          <w:szCs w:val="20"/>
        </w:rPr>
        <w:cr/>
      </w:r>
    </w:p>
    <w:p w14:paraId="54E65AB9" w14:textId="49893092" w:rsidR="00895ADD" w:rsidRPr="00CF6EBC" w:rsidRDefault="00ED2FAD" w:rsidP="001B6C48">
      <w:pPr>
        <w:rPr>
          <w:lang w:val="lt-LT"/>
        </w:rPr>
      </w:pPr>
      <w:r w:rsidRPr="00CF6EBC">
        <w:rPr>
          <w:lang w:val="lt-LT"/>
        </w:rPr>
        <w:t>Atsakymas į 202</w:t>
      </w:r>
      <w:r w:rsidR="001B6C48">
        <w:rPr>
          <w:lang w:val="lt-LT"/>
        </w:rPr>
        <w:t>4</w:t>
      </w:r>
      <w:r w:rsidRPr="00CF6EBC">
        <w:rPr>
          <w:lang w:val="lt-LT"/>
        </w:rPr>
        <w:t xml:space="preserve"> m. </w:t>
      </w:r>
      <w:r w:rsidR="001B6C48">
        <w:rPr>
          <w:lang w:val="lt-LT"/>
        </w:rPr>
        <w:t>kovo</w:t>
      </w:r>
      <w:r w:rsidRPr="00CF6EBC">
        <w:rPr>
          <w:lang w:val="lt-LT"/>
        </w:rPr>
        <w:t xml:space="preserve"> </w:t>
      </w:r>
      <w:r w:rsidR="001B6C48">
        <w:rPr>
          <w:lang w:val="lt-LT"/>
        </w:rPr>
        <w:t>8</w:t>
      </w:r>
      <w:r w:rsidRPr="00CF6EBC">
        <w:rPr>
          <w:lang w:val="lt-LT"/>
        </w:rPr>
        <w:t xml:space="preserve"> d. </w:t>
      </w:r>
      <w:r w:rsidR="00A91CDA" w:rsidRPr="00CF6EBC">
        <w:rPr>
          <w:lang w:val="lt-LT"/>
        </w:rPr>
        <w:t>Klaipėdos miesto savivaldybės administracijos</w:t>
      </w:r>
      <w:r w:rsidR="00263524" w:rsidRPr="00CF6EBC">
        <w:rPr>
          <w:lang w:val="lt-LT"/>
        </w:rPr>
        <w:t xml:space="preserve"> raštu Nr. </w:t>
      </w:r>
      <w:r w:rsidR="001B6C48" w:rsidRPr="001B6C48">
        <w:rPr>
          <w:lang w:val="lt-LT"/>
        </w:rPr>
        <w:t>REG319299</w:t>
      </w:r>
      <w:r w:rsidR="00CF6EBC">
        <w:rPr>
          <w:lang w:val="lt-LT"/>
        </w:rPr>
        <w:t xml:space="preserve"> </w:t>
      </w:r>
      <w:r w:rsidRPr="00CF6EBC">
        <w:rPr>
          <w:lang w:val="lt-LT"/>
        </w:rPr>
        <w:t>pateiktas pastabas</w:t>
      </w:r>
      <w:r w:rsidR="0059679D" w:rsidRPr="00CF6EBC">
        <w:rPr>
          <w:lang w:val="lt-LT"/>
        </w:rPr>
        <w:t>.</w:t>
      </w:r>
    </w:p>
    <w:p w14:paraId="67256566" w14:textId="2A0EFAB5" w:rsidR="00DE35DB" w:rsidRPr="00CF6EBC" w:rsidRDefault="00DE35DB" w:rsidP="00DE35DB">
      <w:pPr>
        <w:ind w:firstLine="0"/>
        <w:rPr>
          <w:b/>
          <w:bCs/>
          <w:sz w:val="20"/>
          <w:szCs w:val="20"/>
          <w:lang w:val="lt-LT"/>
        </w:rPr>
      </w:pPr>
      <w:r w:rsidRPr="00CF6EBC">
        <w:rPr>
          <w:b/>
          <w:bCs/>
          <w:sz w:val="20"/>
          <w:szCs w:val="20"/>
          <w:lang w:val="lt-LT"/>
        </w:rPr>
        <w:t>URBANISTIKOS IR ARCHITEKTŪROS SKYRIAUS PASTABOS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731A4C" w:rsidRPr="00CF6EBC" w14:paraId="3A84B711" w14:textId="77777777" w:rsidTr="0071323E">
        <w:tc>
          <w:tcPr>
            <w:tcW w:w="9628" w:type="dxa"/>
            <w:shd w:val="clear" w:color="auto" w:fill="D9D9D9" w:themeFill="background1" w:themeFillShade="D9"/>
          </w:tcPr>
          <w:p w14:paraId="22F56086" w14:textId="61793C2C" w:rsidR="00731A4C" w:rsidRPr="00CF6EBC" w:rsidRDefault="006D2487" w:rsidP="001B6C48">
            <w:pPr>
              <w:ind w:firstLine="0"/>
              <w:rPr>
                <w:b/>
                <w:bCs/>
                <w:sz w:val="20"/>
                <w:szCs w:val="20"/>
                <w:lang w:val="lt-LT"/>
              </w:rPr>
            </w:pPr>
            <w:bookmarkStart w:id="0" w:name="_Hlk161128758"/>
            <w:r w:rsidRPr="00CF6EBC">
              <w:rPr>
                <w:b/>
                <w:bCs/>
                <w:sz w:val="20"/>
                <w:szCs w:val="20"/>
                <w:lang w:val="lt-LT"/>
              </w:rPr>
              <w:t xml:space="preserve">1. </w:t>
            </w:r>
            <w:r w:rsidR="0068002D" w:rsidRPr="00CF6EBC">
              <w:rPr>
                <w:b/>
                <w:bCs/>
                <w:sz w:val="20"/>
                <w:szCs w:val="20"/>
                <w:lang w:val="lt-LT"/>
              </w:rPr>
              <w:t xml:space="preserve"> </w:t>
            </w:r>
            <w:r w:rsidR="001B6C48" w:rsidRPr="001B6C48">
              <w:rPr>
                <w:b/>
                <w:bCs/>
                <w:sz w:val="20"/>
                <w:szCs w:val="20"/>
                <w:lang w:val="lt-LT"/>
              </w:rPr>
              <w:t>Vadovaujantis Kompleksinio teritorijų planavimo dokumentų rengimo taisyklių (toliau –</w:t>
            </w:r>
            <w:r w:rsidR="001B6C48">
              <w:rPr>
                <w:b/>
                <w:bCs/>
                <w:sz w:val="20"/>
                <w:szCs w:val="20"/>
                <w:lang w:val="lt-LT"/>
              </w:rPr>
              <w:t xml:space="preserve"> </w:t>
            </w:r>
            <w:r w:rsidR="001B6C48" w:rsidRPr="001B6C48">
              <w:rPr>
                <w:b/>
                <w:bCs/>
                <w:sz w:val="20"/>
                <w:szCs w:val="20"/>
                <w:lang w:val="lt-LT"/>
              </w:rPr>
              <w:t>Taisyklės) 257 punktu, planuojamos teritorijos ribos nustatomos planavimo organizatoriaus.</w:t>
            </w:r>
            <w:r w:rsidR="001B6C48">
              <w:rPr>
                <w:b/>
                <w:bCs/>
                <w:sz w:val="20"/>
                <w:szCs w:val="20"/>
                <w:lang w:val="lt-LT"/>
              </w:rPr>
              <w:t xml:space="preserve"> </w:t>
            </w:r>
            <w:r w:rsidR="001B6C48" w:rsidRPr="001B6C48">
              <w:rPr>
                <w:b/>
                <w:bCs/>
                <w:sz w:val="20"/>
                <w:szCs w:val="20"/>
                <w:lang w:val="lt-LT"/>
              </w:rPr>
              <w:t>Detaliojo plano ribos nustatytos sutampančios su sklypo riba. Planuojant naują, koreguojamame</w:t>
            </w:r>
            <w:r w:rsidR="001B6C48">
              <w:rPr>
                <w:b/>
                <w:bCs/>
                <w:sz w:val="20"/>
                <w:szCs w:val="20"/>
                <w:lang w:val="lt-LT"/>
              </w:rPr>
              <w:t xml:space="preserve"> </w:t>
            </w:r>
            <w:r w:rsidR="001B6C48" w:rsidRPr="001B6C48">
              <w:rPr>
                <w:b/>
                <w:bCs/>
                <w:sz w:val="20"/>
                <w:szCs w:val="20"/>
                <w:lang w:val="lt-LT"/>
              </w:rPr>
              <w:t>detaliajame plane nesuplanuotą įvažiavimą iš šiaurinės sklypo dalies, keičiami koreguojamame</w:t>
            </w:r>
            <w:r w:rsidR="001B6C48">
              <w:rPr>
                <w:b/>
                <w:bCs/>
                <w:sz w:val="20"/>
                <w:szCs w:val="20"/>
                <w:lang w:val="lt-LT"/>
              </w:rPr>
              <w:t xml:space="preserve"> </w:t>
            </w:r>
            <w:r w:rsidR="001B6C48" w:rsidRPr="001B6C48">
              <w:rPr>
                <w:b/>
                <w:bCs/>
                <w:sz w:val="20"/>
                <w:szCs w:val="20"/>
                <w:lang w:val="lt-LT"/>
              </w:rPr>
              <w:t>detaliajame plane nustatyti automobilių stovėjimo vietų sprendiniai.</w:t>
            </w:r>
          </w:p>
        </w:tc>
      </w:tr>
      <w:tr w:rsidR="00731A4C" w:rsidRPr="00CF6EBC" w14:paraId="2EB66C86" w14:textId="77777777" w:rsidTr="0071323E">
        <w:tc>
          <w:tcPr>
            <w:tcW w:w="9628" w:type="dxa"/>
          </w:tcPr>
          <w:p w14:paraId="4FF77967" w14:textId="77777777" w:rsidR="00830A8D" w:rsidRPr="00CF6EBC" w:rsidRDefault="0068002D" w:rsidP="00830A8D">
            <w:pPr>
              <w:ind w:firstLine="0"/>
              <w:rPr>
                <w:b/>
                <w:bCs/>
                <w:i/>
                <w:iCs/>
                <w:sz w:val="20"/>
                <w:szCs w:val="20"/>
                <w:lang w:val="lt-LT"/>
              </w:rPr>
            </w:pPr>
            <w:r w:rsidRPr="00CF6EBC">
              <w:rPr>
                <w:b/>
                <w:bCs/>
                <w:i/>
                <w:iCs/>
                <w:sz w:val="20"/>
                <w:szCs w:val="20"/>
                <w:lang w:val="lt-LT"/>
              </w:rPr>
              <w:t>Atsakymas.</w:t>
            </w:r>
          </w:p>
          <w:p w14:paraId="26EAE4EF" w14:textId="54061B1B" w:rsidR="00FC72C2" w:rsidRPr="00CF6EBC" w:rsidRDefault="001B6C48" w:rsidP="001B6C48">
            <w:pPr>
              <w:ind w:firstLine="0"/>
              <w:rPr>
                <w:sz w:val="20"/>
                <w:szCs w:val="20"/>
                <w:lang w:val="lt-LT"/>
              </w:rPr>
            </w:pPr>
            <w:r>
              <w:rPr>
                <w:sz w:val="20"/>
                <w:szCs w:val="20"/>
                <w:lang w:val="lt-LT"/>
              </w:rPr>
              <w:t xml:space="preserve">Koreguojamo detaliojo plano sprendiniuose numatytas įvažiavimų skaičius patikslintas pagal </w:t>
            </w:r>
            <w:r w:rsidRPr="001B6C48">
              <w:rPr>
                <w:sz w:val="20"/>
                <w:szCs w:val="20"/>
                <w:lang w:val="lt-LT"/>
              </w:rPr>
              <w:t>Teritorijos tarp Senosios Smiltelės g., Marių g., Skirvytės g., Klaipėdos valstybinio jūrų uosto teritorijos ribos,</w:t>
            </w:r>
            <w:r>
              <w:rPr>
                <w:sz w:val="20"/>
                <w:szCs w:val="20"/>
                <w:lang w:val="lt-LT"/>
              </w:rPr>
              <w:t xml:space="preserve"> </w:t>
            </w:r>
            <w:r w:rsidRPr="001B6C48">
              <w:rPr>
                <w:sz w:val="20"/>
                <w:szCs w:val="20"/>
                <w:lang w:val="lt-LT"/>
              </w:rPr>
              <w:t>Upelio g. ir Minijos g., Klaipėdoje, detaliojo plano</w:t>
            </w:r>
            <w:r>
              <w:rPr>
                <w:sz w:val="20"/>
                <w:szCs w:val="20"/>
                <w:lang w:val="lt-LT"/>
              </w:rPr>
              <w:t xml:space="preserve"> sprendinius</w:t>
            </w:r>
            <w:r w:rsidRPr="001B6C48">
              <w:rPr>
                <w:sz w:val="20"/>
                <w:szCs w:val="20"/>
                <w:lang w:val="lt-LT"/>
              </w:rPr>
              <w:t xml:space="preserve"> </w:t>
            </w:r>
            <w:r>
              <w:rPr>
                <w:sz w:val="20"/>
                <w:szCs w:val="20"/>
                <w:lang w:val="lt-LT"/>
              </w:rPr>
              <w:t>(</w:t>
            </w:r>
            <w:r w:rsidRPr="001B6C48">
              <w:rPr>
                <w:sz w:val="20"/>
                <w:szCs w:val="20"/>
                <w:lang w:val="lt-LT"/>
              </w:rPr>
              <w:t>patvirtint</w:t>
            </w:r>
            <w:r>
              <w:rPr>
                <w:sz w:val="20"/>
                <w:szCs w:val="20"/>
                <w:lang w:val="lt-LT"/>
              </w:rPr>
              <w:t>as</w:t>
            </w:r>
            <w:r w:rsidRPr="001B6C48">
              <w:rPr>
                <w:sz w:val="20"/>
                <w:szCs w:val="20"/>
                <w:lang w:val="lt-LT"/>
              </w:rPr>
              <w:t xml:space="preserve"> Klaipėdos miesto savivaldybės administracijos</w:t>
            </w:r>
            <w:r>
              <w:rPr>
                <w:sz w:val="20"/>
                <w:szCs w:val="20"/>
                <w:lang w:val="lt-LT"/>
              </w:rPr>
              <w:t xml:space="preserve"> </w:t>
            </w:r>
            <w:r w:rsidRPr="001B6C48">
              <w:rPr>
                <w:sz w:val="20"/>
                <w:szCs w:val="20"/>
                <w:lang w:val="lt-LT"/>
              </w:rPr>
              <w:t>direktoriaus 2014 m. lapkričio 17 d. įsakymu Nr. AD1-3445 „Dėl teritorijos tarp Senosios Smiltelės g., Marių g.,</w:t>
            </w:r>
            <w:r>
              <w:rPr>
                <w:sz w:val="20"/>
                <w:szCs w:val="20"/>
                <w:lang w:val="lt-LT"/>
              </w:rPr>
              <w:t xml:space="preserve"> </w:t>
            </w:r>
            <w:r w:rsidRPr="001B6C48">
              <w:rPr>
                <w:sz w:val="20"/>
                <w:szCs w:val="20"/>
                <w:lang w:val="lt-LT"/>
              </w:rPr>
              <w:t>Skirvytės g., Klaipėdos valstybinio jūrų uosto teritorijos ribos, Upelio g. ir Minijos g., Klaipėdoje, detaliojo plano</w:t>
            </w:r>
            <w:r>
              <w:rPr>
                <w:sz w:val="20"/>
                <w:szCs w:val="20"/>
                <w:lang w:val="lt-LT"/>
              </w:rPr>
              <w:t xml:space="preserve"> </w:t>
            </w:r>
            <w:r w:rsidRPr="001B6C48">
              <w:rPr>
                <w:sz w:val="20"/>
                <w:szCs w:val="20"/>
                <w:lang w:val="lt-LT"/>
              </w:rPr>
              <w:t>patvirtinimo“</w:t>
            </w:r>
            <w:r>
              <w:rPr>
                <w:sz w:val="20"/>
                <w:szCs w:val="20"/>
                <w:lang w:val="lt-LT"/>
              </w:rPr>
              <w:t>). Sprendiniai patikslinti pagrindiniame bei inžinerinės infrastruktūros brėžiniuose ir aiškinamojo rašto 41, 43 psl.</w:t>
            </w:r>
          </w:p>
          <w:p w14:paraId="106FDE78" w14:textId="1E617AE8" w:rsidR="0071323E" w:rsidRPr="00CF6EBC" w:rsidRDefault="0071323E" w:rsidP="00830A8D">
            <w:pPr>
              <w:ind w:firstLine="0"/>
              <w:rPr>
                <w:sz w:val="20"/>
                <w:szCs w:val="20"/>
                <w:lang w:val="lt-LT"/>
              </w:rPr>
            </w:pPr>
          </w:p>
        </w:tc>
      </w:tr>
      <w:tr w:rsidR="00A91CDA" w:rsidRPr="00CF6EBC" w14:paraId="1AE931A5" w14:textId="77777777" w:rsidTr="00A91CDA">
        <w:tc>
          <w:tcPr>
            <w:tcW w:w="9628" w:type="dxa"/>
            <w:shd w:val="clear" w:color="auto" w:fill="D9D9D9" w:themeFill="background1" w:themeFillShade="D9"/>
          </w:tcPr>
          <w:p w14:paraId="68EE596A" w14:textId="5203D66F" w:rsidR="00A91CDA" w:rsidRPr="00CF6EBC" w:rsidRDefault="00A91CDA" w:rsidP="00CF6EBC">
            <w:pPr>
              <w:ind w:firstLine="0"/>
              <w:rPr>
                <w:b/>
                <w:bCs/>
                <w:sz w:val="20"/>
                <w:szCs w:val="20"/>
                <w:lang w:val="lt-LT"/>
              </w:rPr>
            </w:pPr>
            <w:r w:rsidRPr="00CF6EBC">
              <w:rPr>
                <w:b/>
                <w:bCs/>
                <w:sz w:val="20"/>
                <w:szCs w:val="20"/>
                <w:lang w:val="lt-LT"/>
              </w:rPr>
              <w:t xml:space="preserve">2. </w:t>
            </w:r>
            <w:r w:rsidR="001B6C48" w:rsidRPr="001B6C48">
              <w:rPr>
                <w:b/>
                <w:bCs/>
                <w:sz w:val="20"/>
                <w:szCs w:val="20"/>
                <w:lang w:val="lt-LT"/>
              </w:rPr>
              <w:t>Erdviniuose duomenyse ir brėžinyje nesutampa servituto vieta.</w:t>
            </w:r>
          </w:p>
        </w:tc>
      </w:tr>
      <w:tr w:rsidR="00A91CDA" w:rsidRPr="00CF6EBC" w14:paraId="2FA6B5E1" w14:textId="77777777" w:rsidTr="0071323E">
        <w:tc>
          <w:tcPr>
            <w:tcW w:w="9628" w:type="dxa"/>
          </w:tcPr>
          <w:p w14:paraId="2D44D518" w14:textId="77777777" w:rsidR="00A91CDA" w:rsidRPr="00CF6EBC" w:rsidRDefault="00A91CDA" w:rsidP="00830A8D">
            <w:pPr>
              <w:ind w:firstLine="0"/>
              <w:rPr>
                <w:b/>
                <w:bCs/>
                <w:i/>
                <w:iCs/>
                <w:sz w:val="20"/>
                <w:szCs w:val="20"/>
                <w:lang w:val="lt-LT"/>
              </w:rPr>
            </w:pPr>
            <w:r w:rsidRPr="00CF6EBC">
              <w:rPr>
                <w:b/>
                <w:bCs/>
                <w:i/>
                <w:iCs/>
                <w:sz w:val="20"/>
                <w:szCs w:val="20"/>
                <w:lang w:val="lt-LT"/>
              </w:rPr>
              <w:t>Atsakymas.</w:t>
            </w:r>
          </w:p>
          <w:p w14:paraId="67511283" w14:textId="0A024277" w:rsidR="00CF6EBC" w:rsidRDefault="00F04C53" w:rsidP="00F04C53">
            <w:pPr>
              <w:ind w:firstLine="0"/>
              <w:rPr>
                <w:sz w:val="20"/>
                <w:szCs w:val="20"/>
                <w:lang w:val="lt-LT"/>
              </w:rPr>
            </w:pPr>
            <w:r>
              <w:rPr>
                <w:sz w:val="20"/>
                <w:szCs w:val="20"/>
                <w:lang w:val="lt-LT"/>
              </w:rPr>
              <w:t xml:space="preserve">Servituto viena brėžiniuose ir erdviniuose duomenyse sutampa. Brėžiniuose planuojamos teritorijos ribos atvaizdavimas rodomas sustambintas, todėl planuojamos teritorijos riba uždengė servitutą vakarinėje pusėje. </w:t>
            </w:r>
          </w:p>
          <w:p w14:paraId="43425C2A" w14:textId="68B04DF8" w:rsidR="00F04C53" w:rsidRDefault="00F04C53" w:rsidP="00F04C53">
            <w:pPr>
              <w:ind w:firstLine="0"/>
              <w:rPr>
                <w:sz w:val="20"/>
                <w:szCs w:val="20"/>
                <w:lang w:val="lt-LT"/>
              </w:rPr>
            </w:pPr>
            <w:r>
              <w:rPr>
                <w:sz w:val="20"/>
                <w:szCs w:val="20"/>
                <w:lang w:val="lt-LT"/>
              </w:rPr>
              <w:t xml:space="preserve">Atvaizdavimo aiškumui, pagrindiniame brėžinyje bei inžinerinės infrastruktūros brėžinyje planuojamos teritorijos riba patikslinta pavaizduojant ją atitrauką (offset), kad aiškiai matytųsi kiti sprendiniai.  </w:t>
            </w:r>
          </w:p>
          <w:p w14:paraId="3011A2FE" w14:textId="7E7076DE" w:rsidR="00F04C53" w:rsidRPr="00CF6EBC" w:rsidRDefault="00F04C53" w:rsidP="00F04C53">
            <w:pPr>
              <w:ind w:firstLine="0"/>
              <w:rPr>
                <w:sz w:val="20"/>
                <w:szCs w:val="20"/>
                <w:lang w:val="lt-LT"/>
              </w:rPr>
            </w:pPr>
          </w:p>
        </w:tc>
      </w:tr>
      <w:tr w:rsidR="00A91CDA" w:rsidRPr="00CF6EBC" w14:paraId="32B2C504" w14:textId="77777777" w:rsidTr="00DE35DB">
        <w:tc>
          <w:tcPr>
            <w:tcW w:w="9628" w:type="dxa"/>
            <w:shd w:val="clear" w:color="auto" w:fill="D9D9D9" w:themeFill="background1" w:themeFillShade="D9"/>
          </w:tcPr>
          <w:p w14:paraId="695C26CB" w14:textId="503A6458" w:rsidR="001B6C48" w:rsidRPr="00CF6EBC" w:rsidRDefault="00CF6EBC" w:rsidP="001B6C48">
            <w:pPr>
              <w:ind w:firstLine="0"/>
              <w:rPr>
                <w:b/>
                <w:bCs/>
                <w:sz w:val="20"/>
                <w:szCs w:val="20"/>
                <w:lang w:val="lt-LT"/>
              </w:rPr>
            </w:pPr>
            <w:r w:rsidRPr="00CF6EBC">
              <w:rPr>
                <w:b/>
                <w:bCs/>
                <w:sz w:val="20"/>
                <w:szCs w:val="20"/>
                <w:lang w:val="lt-LT"/>
              </w:rPr>
              <w:t xml:space="preserve">3. </w:t>
            </w:r>
            <w:r w:rsidR="001B6C48" w:rsidRPr="001B6C48">
              <w:rPr>
                <w:b/>
                <w:bCs/>
                <w:sz w:val="20"/>
                <w:szCs w:val="20"/>
                <w:lang w:val="lt-LT"/>
              </w:rPr>
              <w:t>Nėra paaiškinta, kodėl keičiamas Nekilnojamojo turto registre įregistruoto servituto plotas</w:t>
            </w:r>
            <w:r w:rsidR="001B6C48">
              <w:rPr>
                <w:b/>
                <w:bCs/>
                <w:sz w:val="20"/>
                <w:szCs w:val="20"/>
                <w:lang w:val="lt-LT"/>
              </w:rPr>
              <w:t xml:space="preserve"> </w:t>
            </w:r>
            <w:r w:rsidR="001B6C48" w:rsidRPr="001B6C48">
              <w:rPr>
                <w:b/>
                <w:bCs/>
                <w:sz w:val="20"/>
                <w:szCs w:val="20"/>
                <w:lang w:val="lt-LT"/>
              </w:rPr>
              <w:t>ir vieta.</w:t>
            </w:r>
          </w:p>
          <w:p w14:paraId="6C6D285F" w14:textId="78464B78" w:rsidR="00A91CDA" w:rsidRPr="00CF6EBC" w:rsidRDefault="00A91CDA" w:rsidP="00CF6EBC">
            <w:pPr>
              <w:ind w:firstLine="0"/>
              <w:rPr>
                <w:b/>
                <w:bCs/>
                <w:sz w:val="20"/>
                <w:szCs w:val="20"/>
                <w:lang w:val="lt-LT"/>
              </w:rPr>
            </w:pPr>
          </w:p>
        </w:tc>
      </w:tr>
      <w:tr w:rsidR="000F27FF" w:rsidRPr="00CF6EBC" w14:paraId="7269205B" w14:textId="77777777" w:rsidTr="0071323E">
        <w:tc>
          <w:tcPr>
            <w:tcW w:w="9628" w:type="dxa"/>
          </w:tcPr>
          <w:p w14:paraId="4481C899" w14:textId="41F9660E" w:rsidR="00605ACB" w:rsidRPr="00CF6EBC" w:rsidRDefault="000F27FF" w:rsidP="00830A8D">
            <w:pPr>
              <w:ind w:firstLine="0"/>
              <w:rPr>
                <w:b/>
                <w:bCs/>
                <w:i/>
                <w:iCs/>
                <w:sz w:val="20"/>
                <w:szCs w:val="20"/>
                <w:lang w:val="lt-LT"/>
              </w:rPr>
            </w:pPr>
            <w:r w:rsidRPr="00CF6EBC">
              <w:rPr>
                <w:b/>
                <w:bCs/>
                <w:i/>
                <w:iCs/>
                <w:sz w:val="20"/>
                <w:szCs w:val="20"/>
                <w:lang w:val="lt-LT"/>
              </w:rPr>
              <w:t>Atsakymas.</w:t>
            </w:r>
          </w:p>
          <w:p w14:paraId="0A959C25" w14:textId="50C47CF9" w:rsidR="00605ACB" w:rsidRPr="00605ACB" w:rsidRDefault="00CB0E49" w:rsidP="00605ACB">
            <w:pPr>
              <w:ind w:firstLine="0"/>
              <w:rPr>
                <w:sz w:val="20"/>
                <w:szCs w:val="20"/>
                <w:lang w:val="lt-LT"/>
              </w:rPr>
            </w:pPr>
            <w:r>
              <w:rPr>
                <w:sz w:val="20"/>
                <w:szCs w:val="20"/>
                <w:lang w:val="lt-LT"/>
              </w:rPr>
              <w:t xml:space="preserve">Aiškinamojo rašto 14 psl. pateiktas paaiškinimas dėl servituto </w:t>
            </w:r>
            <w:r w:rsidR="0081252B">
              <w:rPr>
                <w:sz w:val="20"/>
                <w:szCs w:val="20"/>
                <w:lang w:val="lt-LT"/>
              </w:rPr>
              <w:t>ribų ir ploto pakeitimų: „</w:t>
            </w:r>
            <w:r w:rsidR="0081252B" w:rsidRPr="0081252B">
              <w:rPr>
                <w:sz w:val="20"/>
                <w:szCs w:val="20"/>
                <w:lang w:val="lt-LT"/>
              </w:rPr>
              <w:t>Detaliojo plano sprendiniais sklype Nr. 1 yra nustatytas servitutas, skirtas tiesti, aptarnauti bei naudoti požemines, antžemines komunikacijas bei nurodyti inžinerinių tinklų koridoriai. Servitutas nustatytas esamų slėginių buitinių nuotekų tinklų aptarnavimui ir naudojimui bei elektros tinklų aptarnavimui ir naudojimui. Nekilnojamojo turto registre įregistruoto servituto riba ir plotas keičiami norint užtikrinti esamų elektros tinklų aptarnavimą ir naudojimą, nes sklypą kertanti elektros linija aptarnauja greta esančiame sklype, Senoji Smiltelės g. 4B esančius statinius (valčių garažai) į kuriuos elektros pasijungimas yra iš planuojamo sklypo.</w:t>
            </w:r>
            <w:r w:rsidR="0081252B">
              <w:rPr>
                <w:sz w:val="20"/>
                <w:szCs w:val="20"/>
                <w:lang w:val="lt-LT"/>
              </w:rPr>
              <w:t>“</w:t>
            </w:r>
          </w:p>
          <w:p w14:paraId="736B31F9" w14:textId="43AEA840" w:rsidR="00DE35DB" w:rsidRPr="00CF6EBC" w:rsidRDefault="00DE35DB" w:rsidP="00830A8D">
            <w:pPr>
              <w:ind w:firstLine="0"/>
              <w:rPr>
                <w:sz w:val="20"/>
                <w:szCs w:val="20"/>
                <w:lang w:val="lt-LT"/>
              </w:rPr>
            </w:pPr>
          </w:p>
        </w:tc>
      </w:tr>
      <w:tr w:rsidR="00CF6EBC" w:rsidRPr="00CF6EBC" w14:paraId="6FF2A73C" w14:textId="77777777" w:rsidTr="00CF6EBC">
        <w:tc>
          <w:tcPr>
            <w:tcW w:w="9628" w:type="dxa"/>
            <w:shd w:val="clear" w:color="auto" w:fill="D9D9D9" w:themeFill="background1" w:themeFillShade="D9"/>
          </w:tcPr>
          <w:p w14:paraId="0CCB57C4" w14:textId="69B597AB" w:rsidR="00CF6EBC" w:rsidRPr="00CF6EBC" w:rsidRDefault="00CF6EBC" w:rsidP="001B6C48">
            <w:pPr>
              <w:ind w:firstLine="0"/>
              <w:rPr>
                <w:b/>
                <w:bCs/>
                <w:sz w:val="20"/>
                <w:szCs w:val="20"/>
                <w:lang w:val="lt-LT"/>
              </w:rPr>
            </w:pPr>
            <w:r>
              <w:rPr>
                <w:b/>
                <w:bCs/>
                <w:sz w:val="20"/>
                <w:szCs w:val="20"/>
                <w:lang w:val="lt-LT"/>
              </w:rPr>
              <w:t xml:space="preserve">4. </w:t>
            </w:r>
            <w:r w:rsidR="001B6C48" w:rsidRPr="001B6C48">
              <w:rPr>
                <w:b/>
                <w:bCs/>
                <w:sz w:val="20"/>
                <w:szCs w:val="20"/>
                <w:lang w:val="lt-LT"/>
              </w:rPr>
              <w:t>Aiškinamajame rašte bei pagrindiniame brėžinyje nurodyta Detaliajame plane nurodytų</w:t>
            </w:r>
            <w:r w:rsidR="001B6C48">
              <w:rPr>
                <w:b/>
                <w:bCs/>
                <w:sz w:val="20"/>
                <w:szCs w:val="20"/>
                <w:lang w:val="lt-LT"/>
              </w:rPr>
              <w:t xml:space="preserve"> </w:t>
            </w:r>
            <w:r w:rsidR="001B6C48" w:rsidRPr="001B6C48">
              <w:rPr>
                <w:b/>
                <w:bCs/>
                <w:sz w:val="20"/>
                <w:szCs w:val="20"/>
                <w:lang w:val="lt-LT"/>
              </w:rPr>
              <w:t>žemės naudojimo būdų keitimo tvarka neatitinka Taisyklių 2 priedo 5 punkto reikalavimų.</w:t>
            </w:r>
          </w:p>
        </w:tc>
      </w:tr>
      <w:tr w:rsidR="00605ACB" w:rsidRPr="00CF6EBC" w14:paraId="1C3E3EEE" w14:textId="77777777" w:rsidTr="00605ACB">
        <w:tc>
          <w:tcPr>
            <w:tcW w:w="9628" w:type="dxa"/>
            <w:shd w:val="clear" w:color="auto" w:fill="FFFFFF" w:themeFill="background1"/>
          </w:tcPr>
          <w:p w14:paraId="0D988A8F" w14:textId="77777777" w:rsidR="00605ACB" w:rsidRPr="00CF6EBC" w:rsidRDefault="00605ACB" w:rsidP="00605ACB">
            <w:pPr>
              <w:ind w:firstLine="0"/>
              <w:rPr>
                <w:b/>
                <w:bCs/>
                <w:i/>
                <w:iCs/>
                <w:sz w:val="20"/>
                <w:szCs w:val="20"/>
                <w:lang w:val="lt-LT"/>
              </w:rPr>
            </w:pPr>
            <w:r w:rsidRPr="00CF6EBC">
              <w:rPr>
                <w:b/>
                <w:bCs/>
                <w:i/>
                <w:iCs/>
                <w:sz w:val="20"/>
                <w:szCs w:val="20"/>
                <w:lang w:val="lt-LT"/>
              </w:rPr>
              <w:t>Atsakymas.</w:t>
            </w:r>
          </w:p>
          <w:p w14:paraId="0D5BF7CE" w14:textId="66578A6B" w:rsidR="00605ACB" w:rsidRDefault="00634D34" w:rsidP="00605ACB">
            <w:pPr>
              <w:ind w:firstLine="0"/>
              <w:rPr>
                <w:b/>
                <w:bCs/>
                <w:sz w:val="20"/>
                <w:szCs w:val="20"/>
                <w:lang w:val="lt-LT"/>
              </w:rPr>
            </w:pPr>
            <w:r>
              <w:rPr>
                <w:sz w:val="20"/>
                <w:szCs w:val="20"/>
                <w:lang w:val="lt-LT"/>
              </w:rPr>
              <w:t xml:space="preserve">Aiškinamojo rašto 14 psl., 22 psl. bei pagrindiniame brėžinyje patikslinta žemės naudojimo būdų keitimo tvarka pagal </w:t>
            </w:r>
            <w:r w:rsidR="00C074A0">
              <w:rPr>
                <w:sz w:val="20"/>
                <w:szCs w:val="20"/>
                <w:lang w:val="lt-LT"/>
              </w:rPr>
              <w:t xml:space="preserve"> </w:t>
            </w:r>
            <w:r w:rsidRPr="00634D34">
              <w:rPr>
                <w:sz w:val="20"/>
                <w:szCs w:val="20"/>
                <w:lang w:val="lt-LT"/>
              </w:rPr>
              <w:t>Taisyklių 2 priedo 5 punkto reikalavim</w:t>
            </w:r>
            <w:r>
              <w:rPr>
                <w:sz w:val="20"/>
                <w:szCs w:val="20"/>
                <w:lang w:val="lt-LT"/>
              </w:rPr>
              <w:t>us: „</w:t>
            </w:r>
            <w:r w:rsidRPr="00634D34">
              <w:rPr>
                <w:sz w:val="20"/>
                <w:szCs w:val="20"/>
                <w:lang w:val="lt-LT"/>
              </w:rPr>
              <w:t>Kai detaliajame plane nustatomas teritorijos naudojimo tipas ir nurodomi keli galimi žemės sklypo ar jo dalies žemės naudojimo būdai, pirmuoju įrašytas žemės sklypo naudojimo būdas yra prioritetinis, pagal jį nustatomas konkretus žemės sklypo ar jo dalies žemės naudojimo būdas tvirtinant detalųjį planą, kitais detaliajame plane pagal teritorijos naudojimo tipą nurodytais žemės naudojimo būdais žemės sklypo ar jo dalies žemės naudojimo būdai keičiami savivaldybės mero ar jo įgalioto savivaldybės administracijos direktoriaus sprendimu, Vyriausybės nustatyta tvarka informuojant visuomenę.</w:t>
            </w:r>
            <w:r>
              <w:rPr>
                <w:sz w:val="20"/>
                <w:szCs w:val="20"/>
                <w:lang w:val="lt-LT"/>
              </w:rPr>
              <w:t>“</w:t>
            </w:r>
          </w:p>
        </w:tc>
      </w:tr>
      <w:bookmarkEnd w:id="0"/>
    </w:tbl>
    <w:p w14:paraId="75563FE2" w14:textId="77777777" w:rsidR="00605ACB" w:rsidRPr="00CF6EBC" w:rsidRDefault="00605ACB" w:rsidP="0071323E">
      <w:pPr>
        <w:ind w:firstLine="0"/>
        <w:rPr>
          <w:sz w:val="20"/>
          <w:szCs w:val="20"/>
          <w:lang w:val="lt-LT"/>
        </w:rPr>
      </w:pPr>
    </w:p>
    <w:p w14:paraId="2F65F8EF" w14:textId="77777777" w:rsidR="00DE35DB" w:rsidRPr="00CF6EBC" w:rsidRDefault="00DE35DB" w:rsidP="0071323E">
      <w:pPr>
        <w:ind w:firstLine="0"/>
        <w:rPr>
          <w:sz w:val="20"/>
          <w:szCs w:val="20"/>
          <w:lang w:val="lt-LT"/>
        </w:rPr>
      </w:pPr>
    </w:p>
    <w:p w14:paraId="48C47186" w14:textId="0AD46789" w:rsidR="001B6C48" w:rsidRPr="00CF6EBC" w:rsidRDefault="001B6C48" w:rsidP="001B6C48">
      <w:pPr>
        <w:ind w:firstLine="0"/>
        <w:rPr>
          <w:b/>
          <w:bCs/>
          <w:sz w:val="20"/>
          <w:szCs w:val="20"/>
          <w:lang w:val="lt-LT"/>
        </w:rPr>
      </w:pPr>
      <w:r>
        <w:rPr>
          <w:b/>
          <w:bCs/>
          <w:sz w:val="20"/>
          <w:szCs w:val="20"/>
          <w:lang w:val="lt-LT"/>
        </w:rPr>
        <w:lastRenderedPageBreak/>
        <w:t>APLINKOSAUGOS</w:t>
      </w:r>
      <w:r w:rsidRPr="00CF6EBC">
        <w:rPr>
          <w:b/>
          <w:bCs/>
          <w:sz w:val="20"/>
          <w:szCs w:val="20"/>
          <w:lang w:val="lt-LT"/>
        </w:rPr>
        <w:t xml:space="preserve"> SKYRIAUS PASTABOS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1B6C48" w:rsidRPr="00CF6EBC" w14:paraId="64FBEA26" w14:textId="77777777" w:rsidTr="004F4255">
        <w:tc>
          <w:tcPr>
            <w:tcW w:w="9628" w:type="dxa"/>
            <w:shd w:val="clear" w:color="auto" w:fill="D9D9D9" w:themeFill="background1" w:themeFillShade="D9"/>
          </w:tcPr>
          <w:p w14:paraId="28D3EB70" w14:textId="1D6440A2" w:rsidR="001B6C48" w:rsidRPr="00CF6EBC" w:rsidRDefault="001B6C48" w:rsidP="001B6C48">
            <w:pPr>
              <w:ind w:firstLine="0"/>
              <w:rPr>
                <w:b/>
                <w:bCs/>
                <w:sz w:val="20"/>
                <w:szCs w:val="20"/>
                <w:lang w:val="lt-LT"/>
              </w:rPr>
            </w:pPr>
            <w:r w:rsidRPr="00CF6EBC">
              <w:rPr>
                <w:b/>
                <w:bCs/>
                <w:sz w:val="20"/>
                <w:szCs w:val="20"/>
                <w:lang w:val="lt-LT"/>
              </w:rPr>
              <w:t xml:space="preserve">1.  </w:t>
            </w:r>
            <w:r w:rsidRPr="001B6C48">
              <w:rPr>
                <w:b/>
                <w:bCs/>
                <w:sz w:val="20"/>
                <w:szCs w:val="20"/>
                <w:lang w:val="lt-LT"/>
              </w:rPr>
              <w:t>Detaliojo plano priklausomųjų želdynų normos pateikimas teritorijos naudojimo</w:t>
            </w:r>
            <w:r>
              <w:rPr>
                <w:b/>
                <w:bCs/>
                <w:sz w:val="20"/>
                <w:szCs w:val="20"/>
                <w:lang w:val="lt-LT"/>
              </w:rPr>
              <w:t xml:space="preserve"> </w:t>
            </w:r>
            <w:r w:rsidRPr="001B6C48">
              <w:rPr>
                <w:b/>
                <w:bCs/>
                <w:sz w:val="20"/>
                <w:szCs w:val="20"/>
                <w:lang w:val="lt-LT"/>
              </w:rPr>
              <w:t>reglamente neatitinka Kompleksinio teritorijų planavimo dokumentų rengimo taisyklių 2 priedo 4</w:t>
            </w:r>
            <w:r>
              <w:rPr>
                <w:b/>
                <w:bCs/>
                <w:sz w:val="20"/>
                <w:szCs w:val="20"/>
                <w:lang w:val="lt-LT"/>
              </w:rPr>
              <w:t xml:space="preserve"> </w:t>
            </w:r>
            <w:r w:rsidRPr="001B6C48">
              <w:rPr>
                <w:b/>
                <w:bCs/>
                <w:sz w:val="20"/>
                <w:szCs w:val="20"/>
                <w:lang w:val="lt-LT"/>
              </w:rPr>
              <w:t>punkte nurodyto teritorijų naudojimo reglamento žymėjimo kai nustatomas ne vienas žemės sklypo</w:t>
            </w:r>
            <w:r>
              <w:rPr>
                <w:b/>
                <w:bCs/>
                <w:sz w:val="20"/>
                <w:szCs w:val="20"/>
                <w:lang w:val="lt-LT"/>
              </w:rPr>
              <w:t xml:space="preserve"> </w:t>
            </w:r>
            <w:r w:rsidRPr="001B6C48">
              <w:rPr>
                <w:b/>
                <w:bCs/>
                <w:sz w:val="20"/>
                <w:szCs w:val="20"/>
                <w:lang w:val="lt-LT"/>
              </w:rPr>
              <w:t>naudojimo būdas. Jei Detaliajame plane nustatomi trys galimi žemės sklypo naudojimo būdai, tuomet</w:t>
            </w:r>
            <w:r>
              <w:rPr>
                <w:b/>
                <w:bCs/>
                <w:sz w:val="20"/>
                <w:szCs w:val="20"/>
                <w:lang w:val="lt-LT"/>
              </w:rPr>
              <w:t xml:space="preserve"> </w:t>
            </w:r>
            <w:r w:rsidRPr="001B6C48">
              <w:rPr>
                <w:b/>
                <w:bCs/>
                <w:sz w:val="20"/>
                <w:szCs w:val="20"/>
                <w:lang w:val="lt-LT"/>
              </w:rPr>
              <w:t>turi būti nustatytos ir trys priklausomųjų želdynų ir želdinių teritorijų dalys procentais pagal teritorijų</w:t>
            </w:r>
            <w:r>
              <w:rPr>
                <w:b/>
                <w:bCs/>
                <w:sz w:val="20"/>
                <w:szCs w:val="20"/>
                <w:lang w:val="lt-LT"/>
              </w:rPr>
              <w:t xml:space="preserve"> </w:t>
            </w:r>
            <w:r w:rsidRPr="001B6C48">
              <w:rPr>
                <w:b/>
                <w:bCs/>
                <w:sz w:val="20"/>
                <w:szCs w:val="20"/>
                <w:lang w:val="lt-LT"/>
              </w:rPr>
              <w:t>planavimo sąlygų išdavimo metu galiojančias priklausomųjų želdynų normas arba viena norma, kuri</w:t>
            </w:r>
            <w:r>
              <w:rPr>
                <w:b/>
                <w:bCs/>
                <w:sz w:val="20"/>
                <w:szCs w:val="20"/>
                <w:lang w:val="lt-LT"/>
              </w:rPr>
              <w:t xml:space="preserve"> </w:t>
            </w:r>
            <w:r w:rsidRPr="001B6C48">
              <w:rPr>
                <w:b/>
                <w:bCs/>
                <w:sz w:val="20"/>
                <w:szCs w:val="20"/>
                <w:lang w:val="lt-LT"/>
              </w:rPr>
              <w:t>bus privaloma nepriklausomai nuo nustatyto žemės sklypo naudojimo būdo.</w:t>
            </w:r>
          </w:p>
        </w:tc>
      </w:tr>
      <w:tr w:rsidR="001B6C48" w:rsidRPr="00CF6EBC" w14:paraId="7F0863C8" w14:textId="77777777" w:rsidTr="004F4255">
        <w:tc>
          <w:tcPr>
            <w:tcW w:w="9628" w:type="dxa"/>
          </w:tcPr>
          <w:p w14:paraId="2F529211" w14:textId="77777777" w:rsidR="001B6C48" w:rsidRPr="00CF6EBC" w:rsidRDefault="001B6C48" w:rsidP="004F4255">
            <w:pPr>
              <w:ind w:firstLine="0"/>
              <w:rPr>
                <w:b/>
                <w:bCs/>
                <w:i/>
                <w:iCs/>
                <w:sz w:val="20"/>
                <w:szCs w:val="20"/>
                <w:lang w:val="lt-LT"/>
              </w:rPr>
            </w:pPr>
            <w:r w:rsidRPr="00CF6EBC">
              <w:rPr>
                <w:b/>
                <w:bCs/>
                <w:i/>
                <w:iCs/>
                <w:sz w:val="20"/>
                <w:szCs w:val="20"/>
                <w:lang w:val="lt-LT"/>
              </w:rPr>
              <w:t>Atsakymas.</w:t>
            </w:r>
          </w:p>
          <w:p w14:paraId="335D955C" w14:textId="4FB5FBEF" w:rsidR="001B6C48" w:rsidRDefault="0070009D" w:rsidP="0070009D">
            <w:pPr>
              <w:ind w:firstLine="0"/>
              <w:rPr>
                <w:sz w:val="20"/>
                <w:szCs w:val="20"/>
                <w:lang w:val="lt-LT"/>
              </w:rPr>
            </w:pPr>
            <w:r>
              <w:rPr>
                <w:sz w:val="20"/>
                <w:szCs w:val="20"/>
                <w:lang w:val="lt-LT"/>
              </w:rPr>
              <w:t>Detaliojo plano sprendiniuose (pagrindiniame bei inžinerinės infrastruktūros brėžiniuose</w:t>
            </w:r>
            <w:r w:rsidR="003E5E00">
              <w:rPr>
                <w:sz w:val="20"/>
                <w:szCs w:val="20"/>
                <w:lang w:val="lt-LT"/>
              </w:rPr>
              <w:t xml:space="preserve">) </w:t>
            </w:r>
            <w:r w:rsidRPr="0070009D">
              <w:rPr>
                <w:sz w:val="20"/>
                <w:szCs w:val="20"/>
                <w:lang w:val="lt-LT"/>
              </w:rPr>
              <w:t>priklausomųjų želdynų normos pateikimas</w:t>
            </w:r>
            <w:r>
              <w:rPr>
                <w:sz w:val="20"/>
                <w:szCs w:val="20"/>
                <w:lang w:val="lt-LT"/>
              </w:rPr>
              <w:t xml:space="preserve"> patikslintas pagal </w:t>
            </w:r>
            <w:r w:rsidRPr="0070009D">
              <w:rPr>
                <w:sz w:val="20"/>
                <w:szCs w:val="20"/>
                <w:lang w:val="lt-LT"/>
              </w:rPr>
              <w:t>Kompleksinio teritorijų planavimo dokumentų rengimo taisyklių 2 priedo 4 punkte nurodyt</w:t>
            </w:r>
            <w:r>
              <w:rPr>
                <w:sz w:val="20"/>
                <w:szCs w:val="20"/>
                <w:lang w:val="lt-LT"/>
              </w:rPr>
              <w:t>ą</w:t>
            </w:r>
            <w:r w:rsidRPr="0070009D">
              <w:rPr>
                <w:sz w:val="20"/>
                <w:szCs w:val="20"/>
                <w:lang w:val="lt-LT"/>
              </w:rPr>
              <w:t xml:space="preserve"> teritorijų naudojimo reglamento žymėjim</w:t>
            </w:r>
            <w:r>
              <w:rPr>
                <w:sz w:val="20"/>
                <w:szCs w:val="20"/>
                <w:lang w:val="lt-LT"/>
              </w:rPr>
              <w:t>ą</w:t>
            </w:r>
            <w:r w:rsidRPr="0070009D">
              <w:rPr>
                <w:sz w:val="20"/>
                <w:szCs w:val="20"/>
                <w:lang w:val="lt-LT"/>
              </w:rPr>
              <w:t xml:space="preserve"> kai nustatomas ne vienas žemės sklypo naudojimo būdas.</w:t>
            </w:r>
            <w:r w:rsidR="0042423F">
              <w:rPr>
                <w:sz w:val="20"/>
                <w:szCs w:val="20"/>
                <w:lang w:val="lt-LT"/>
              </w:rPr>
              <w:t xml:space="preserve"> Aiškinamasis raštas papildytas lentele, kurioje nurodytas m</w:t>
            </w:r>
            <w:r w:rsidR="0042423F" w:rsidRPr="0042423F">
              <w:rPr>
                <w:sz w:val="20"/>
                <w:szCs w:val="20"/>
                <w:lang w:val="lt-LT"/>
              </w:rPr>
              <w:t>ažiausias želdynams priskiriamas plotas nuo viso žemės sklypo ploto, proc.</w:t>
            </w:r>
            <w:r w:rsidR="0042423F">
              <w:rPr>
                <w:sz w:val="20"/>
                <w:szCs w:val="20"/>
                <w:lang w:val="lt-LT"/>
              </w:rPr>
              <w:t xml:space="preserve"> nustatomas kiekvienam galimam žemės naudojimo būdui.</w:t>
            </w:r>
          </w:p>
          <w:p w14:paraId="6C0D0BBC" w14:textId="0801932B" w:rsidR="003E5E00" w:rsidRDefault="003E5E00" w:rsidP="0070009D">
            <w:pPr>
              <w:ind w:firstLine="0"/>
              <w:rPr>
                <w:sz w:val="20"/>
                <w:szCs w:val="20"/>
                <w:lang w:val="lt-LT"/>
              </w:rPr>
            </w:pPr>
            <w:r>
              <w:rPr>
                <w:sz w:val="20"/>
                <w:szCs w:val="20"/>
                <w:lang w:val="lt-LT"/>
              </w:rPr>
              <w:t>Aiškinamojo rašto 17 psl. pateikta lentelė, kurioje nurodytas m</w:t>
            </w:r>
            <w:r w:rsidRPr="003E5E00">
              <w:rPr>
                <w:sz w:val="20"/>
                <w:szCs w:val="20"/>
                <w:lang w:val="lt-LT"/>
              </w:rPr>
              <w:t>ažiausias želdynams priskiriamas plotas nuo viso žemės sklypo ploto, proc.</w:t>
            </w:r>
            <w:r>
              <w:rPr>
                <w:sz w:val="20"/>
                <w:szCs w:val="20"/>
                <w:lang w:val="lt-LT"/>
              </w:rPr>
              <w:t xml:space="preserve"> galimam žemės naudojimo būdui.</w:t>
            </w:r>
          </w:p>
          <w:p w14:paraId="1658C447" w14:textId="503510F9" w:rsidR="0070009D" w:rsidRDefault="0070009D" w:rsidP="0070009D">
            <w:pPr>
              <w:ind w:firstLine="0"/>
              <w:rPr>
                <w:sz w:val="20"/>
                <w:szCs w:val="20"/>
                <w:lang w:val="lt-LT"/>
              </w:rPr>
            </w:pPr>
            <w:r>
              <w:rPr>
                <w:sz w:val="20"/>
                <w:szCs w:val="20"/>
                <w:lang w:val="lt-LT"/>
              </w:rPr>
              <w:t>Pagrindiniame brėžinyje, inžinerinės infrastruktūros brėžinyje bei aiškinamojo rašto 17 psl.</w:t>
            </w:r>
            <w:r w:rsidR="000D4BF3">
              <w:rPr>
                <w:sz w:val="20"/>
                <w:szCs w:val="20"/>
                <w:lang w:val="lt-LT"/>
              </w:rPr>
              <w:t>, 21 psl.</w:t>
            </w:r>
            <w:r>
              <w:rPr>
                <w:sz w:val="20"/>
                <w:szCs w:val="20"/>
                <w:lang w:val="lt-LT"/>
              </w:rPr>
              <w:t xml:space="preserve"> ištrinta pastaba, kuri tapo netikslinga, patikslinus priklausomųjų želdynų normos pateikimą: „</w:t>
            </w:r>
            <w:r w:rsidRPr="0070009D">
              <w:rPr>
                <w:sz w:val="20"/>
                <w:szCs w:val="20"/>
                <w:lang w:val="lt-LT"/>
              </w:rPr>
              <w:t>* Mažiausias želdynams priskiriamas plotas nuo viso žemės sklypo ploto, proc. nustatytas pagal pirmąjį įrašytą žemės sklypo naudojimo būdą (prioritetinį).  Nustatant kitus detaliajame plane pagal teritorijos naudojimo tipą nurodytus žemės naudojimo būdus žemės sklypo ar jo dalies žemės naudojimo būdus keičiant savivaldybės administracijos direktoriaus sprendimu, mažiausias želdynams priskiriamas plotas, proc. nustatomas konkrečiam žemės naudojimo būdui, vadovaujantis Priklausomųjų želdynų plotų normų apskaičiavimo tvarkos aprašu.</w:t>
            </w:r>
            <w:r>
              <w:rPr>
                <w:sz w:val="20"/>
                <w:szCs w:val="20"/>
                <w:lang w:val="lt-LT"/>
              </w:rPr>
              <w:t>“</w:t>
            </w:r>
          </w:p>
          <w:p w14:paraId="418DFBF9" w14:textId="1EA3CCF8" w:rsidR="0070009D" w:rsidRPr="00CF6EBC" w:rsidRDefault="0070009D" w:rsidP="0070009D">
            <w:pPr>
              <w:ind w:firstLine="0"/>
              <w:rPr>
                <w:sz w:val="20"/>
                <w:szCs w:val="20"/>
                <w:lang w:val="lt-LT"/>
              </w:rPr>
            </w:pPr>
          </w:p>
        </w:tc>
      </w:tr>
      <w:tr w:rsidR="001B6C48" w:rsidRPr="00CF6EBC" w14:paraId="2785AE64" w14:textId="77777777" w:rsidTr="004F4255">
        <w:tc>
          <w:tcPr>
            <w:tcW w:w="9628" w:type="dxa"/>
            <w:shd w:val="clear" w:color="auto" w:fill="D9D9D9" w:themeFill="background1" w:themeFillShade="D9"/>
          </w:tcPr>
          <w:p w14:paraId="7FE8F82C" w14:textId="3250959F" w:rsidR="001B6C48" w:rsidRPr="00CF6EBC" w:rsidRDefault="001B6C48" w:rsidP="001B6C48">
            <w:pPr>
              <w:ind w:firstLine="0"/>
              <w:rPr>
                <w:b/>
                <w:bCs/>
                <w:sz w:val="20"/>
                <w:szCs w:val="20"/>
                <w:lang w:val="lt-LT"/>
              </w:rPr>
            </w:pPr>
            <w:r w:rsidRPr="00CF6EBC">
              <w:rPr>
                <w:b/>
                <w:bCs/>
                <w:sz w:val="20"/>
                <w:szCs w:val="20"/>
                <w:lang w:val="lt-LT"/>
              </w:rPr>
              <w:t xml:space="preserve">2. </w:t>
            </w:r>
            <w:r w:rsidRPr="001B6C48">
              <w:rPr>
                <w:b/>
                <w:bCs/>
                <w:sz w:val="20"/>
                <w:szCs w:val="20"/>
                <w:lang w:val="lt-LT"/>
              </w:rPr>
              <w:t>Klaipėdos miesto savivaldybės vykdomo aplinkos oro monitoringo metu planuojamos</w:t>
            </w:r>
            <w:r>
              <w:rPr>
                <w:b/>
                <w:bCs/>
                <w:sz w:val="20"/>
                <w:szCs w:val="20"/>
                <w:lang w:val="lt-LT"/>
              </w:rPr>
              <w:t xml:space="preserve"> </w:t>
            </w:r>
            <w:r w:rsidRPr="001B6C48">
              <w:rPr>
                <w:b/>
                <w:bCs/>
                <w:sz w:val="20"/>
                <w:szCs w:val="20"/>
                <w:lang w:val="lt-LT"/>
              </w:rPr>
              <w:t>teritorijos artimoje aplinkoje buvo ne kartą nustatytos kietųjų dalelių (KD10) ribinės vertės viršijimas.</w:t>
            </w:r>
            <w:r>
              <w:rPr>
                <w:b/>
                <w:bCs/>
                <w:sz w:val="20"/>
                <w:szCs w:val="20"/>
                <w:lang w:val="lt-LT"/>
              </w:rPr>
              <w:t xml:space="preserve"> </w:t>
            </w:r>
            <w:r w:rsidRPr="001B6C48">
              <w:rPr>
                <w:b/>
                <w:bCs/>
                <w:sz w:val="20"/>
                <w:szCs w:val="20"/>
                <w:lang w:val="lt-LT"/>
              </w:rPr>
              <w:t>Klaipėdos miesto savivaldybės vykdomo triukšmo monitoringo metu planuojamos teritorijos</w:t>
            </w:r>
            <w:r>
              <w:rPr>
                <w:b/>
                <w:bCs/>
                <w:sz w:val="20"/>
                <w:szCs w:val="20"/>
                <w:lang w:val="lt-LT"/>
              </w:rPr>
              <w:t xml:space="preserve"> </w:t>
            </w:r>
            <w:r w:rsidRPr="001B6C48">
              <w:rPr>
                <w:b/>
                <w:bCs/>
                <w:sz w:val="20"/>
                <w:szCs w:val="20"/>
                <w:lang w:val="lt-LT"/>
              </w:rPr>
              <w:t>artimoje aplinkoje ne kartą nustatyti dienos, vakaro, nakties triukšmo ribinių dydžio viršijimai.</w:t>
            </w:r>
            <w:r>
              <w:rPr>
                <w:b/>
                <w:bCs/>
                <w:sz w:val="20"/>
                <w:szCs w:val="20"/>
                <w:lang w:val="lt-LT"/>
              </w:rPr>
              <w:t xml:space="preserve"> </w:t>
            </w:r>
            <w:r w:rsidRPr="001B6C48">
              <w:rPr>
                <w:b/>
                <w:bCs/>
                <w:sz w:val="20"/>
                <w:szCs w:val="20"/>
                <w:lang w:val="lt-LT"/>
              </w:rPr>
              <w:t>Atsižvelgiant į tai siūlome neplanuoti viešbučių paskirties pastatų, kad būtų apribotos galimos statinių</w:t>
            </w:r>
            <w:r>
              <w:rPr>
                <w:b/>
                <w:bCs/>
                <w:sz w:val="20"/>
                <w:szCs w:val="20"/>
                <w:lang w:val="lt-LT"/>
              </w:rPr>
              <w:t xml:space="preserve"> </w:t>
            </w:r>
            <w:r w:rsidRPr="001B6C48">
              <w:rPr>
                <w:b/>
                <w:bCs/>
                <w:sz w:val="20"/>
                <w:szCs w:val="20"/>
                <w:lang w:val="lt-LT"/>
              </w:rPr>
              <w:t>paskirtys, kuriose būtų galima laikinai ar nuolat gyventi</w:t>
            </w:r>
          </w:p>
        </w:tc>
      </w:tr>
      <w:tr w:rsidR="001B6C48" w:rsidRPr="00CF6EBC" w14:paraId="3094953C" w14:textId="77777777" w:rsidTr="004F4255">
        <w:tc>
          <w:tcPr>
            <w:tcW w:w="9628" w:type="dxa"/>
          </w:tcPr>
          <w:p w14:paraId="4E7FF64A" w14:textId="77777777" w:rsidR="001B6C48" w:rsidRPr="00CF6EBC" w:rsidRDefault="001B6C48" w:rsidP="004F4255">
            <w:pPr>
              <w:ind w:firstLine="0"/>
              <w:rPr>
                <w:b/>
                <w:bCs/>
                <w:i/>
                <w:iCs/>
                <w:sz w:val="20"/>
                <w:szCs w:val="20"/>
                <w:lang w:val="lt-LT"/>
              </w:rPr>
            </w:pPr>
            <w:r w:rsidRPr="00CF6EBC">
              <w:rPr>
                <w:b/>
                <w:bCs/>
                <w:i/>
                <w:iCs/>
                <w:sz w:val="20"/>
                <w:szCs w:val="20"/>
                <w:lang w:val="lt-LT"/>
              </w:rPr>
              <w:t>Atsakymas.</w:t>
            </w:r>
          </w:p>
          <w:p w14:paraId="1E18450F" w14:textId="489BC731" w:rsidR="001B6C48" w:rsidRDefault="003D30EE" w:rsidP="004F4255">
            <w:pPr>
              <w:ind w:firstLine="0"/>
              <w:rPr>
                <w:sz w:val="20"/>
                <w:szCs w:val="20"/>
                <w:lang w:val="lt-LT"/>
              </w:rPr>
            </w:pPr>
            <w:r>
              <w:rPr>
                <w:sz w:val="20"/>
                <w:szCs w:val="20"/>
                <w:lang w:val="lt-LT"/>
              </w:rPr>
              <w:t xml:space="preserve">Detaliojo plano sprendiniai patikslinti (pagrindinis brėžinys, aiškinamojo rašto 20 psl.), išbraukiant iš galimų statinių paskirčių viešbučių paskirties pastatus. </w:t>
            </w:r>
          </w:p>
          <w:p w14:paraId="241E1190" w14:textId="77777777" w:rsidR="001B6C48" w:rsidRPr="00CF6EBC" w:rsidRDefault="001B6C48" w:rsidP="004F4255">
            <w:pPr>
              <w:ind w:firstLine="0"/>
              <w:rPr>
                <w:sz w:val="20"/>
                <w:szCs w:val="20"/>
                <w:lang w:val="lt-LT"/>
              </w:rPr>
            </w:pPr>
          </w:p>
        </w:tc>
      </w:tr>
      <w:tr w:rsidR="001B6C48" w:rsidRPr="00CF6EBC" w14:paraId="12E2FB59" w14:textId="77777777" w:rsidTr="004F4255">
        <w:tc>
          <w:tcPr>
            <w:tcW w:w="9628" w:type="dxa"/>
            <w:shd w:val="clear" w:color="auto" w:fill="D9D9D9" w:themeFill="background1" w:themeFillShade="D9"/>
          </w:tcPr>
          <w:p w14:paraId="2E6C7C22" w14:textId="3E16B859" w:rsidR="001B6C48" w:rsidRPr="00CF6EBC" w:rsidRDefault="001B6C48" w:rsidP="001B6C48">
            <w:pPr>
              <w:ind w:firstLine="0"/>
              <w:rPr>
                <w:b/>
                <w:bCs/>
                <w:sz w:val="20"/>
                <w:szCs w:val="20"/>
                <w:lang w:val="lt-LT"/>
              </w:rPr>
            </w:pPr>
            <w:r w:rsidRPr="00CF6EBC">
              <w:rPr>
                <w:b/>
                <w:bCs/>
                <w:sz w:val="20"/>
                <w:szCs w:val="20"/>
                <w:lang w:val="lt-LT"/>
              </w:rPr>
              <w:t xml:space="preserve">3. </w:t>
            </w:r>
            <w:r w:rsidRPr="001B6C48">
              <w:rPr>
                <w:b/>
                <w:bCs/>
                <w:sz w:val="20"/>
                <w:szCs w:val="20"/>
                <w:lang w:val="lt-LT"/>
              </w:rPr>
              <w:t>Detaliojo plano aiškinamajame rašte rašoma, kad rekomenduojamos Detaliojo plano</w:t>
            </w:r>
            <w:r>
              <w:rPr>
                <w:b/>
                <w:bCs/>
                <w:sz w:val="20"/>
                <w:szCs w:val="20"/>
                <w:lang w:val="lt-LT"/>
              </w:rPr>
              <w:t xml:space="preserve"> </w:t>
            </w:r>
            <w:r w:rsidRPr="001B6C48">
              <w:rPr>
                <w:b/>
                <w:bCs/>
                <w:sz w:val="20"/>
                <w:szCs w:val="20"/>
                <w:lang w:val="lt-LT"/>
              </w:rPr>
              <w:t>sprendinių neigiamo poveikio išvengimo, sumažinimo ar kompensavimo priemonės pateikiamos 4.11</w:t>
            </w:r>
            <w:r>
              <w:rPr>
                <w:b/>
                <w:bCs/>
                <w:sz w:val="20"/>
                <w:szCs w:val="20"/>
                <w:lang w:val="lt-LT"/>
              </w:rPr>
              <w:t xml:space="preserve"> </w:t>
            </w:r>
            <w:r w:rsidRPr="001B6C48">
              <w:rPr>
                <w:b/>
                <w:bCs/>
                <w:sz w:val="20"/>
                <w:szCs w:val="20"/>
                <w:lang w:val="lt-LT"/>
              </w:rPr>
              <w:t>lentelėje. Tačiau 4.11 lentelėje pateikiamos KD koncentracijų vertės.</w:t>
            </w:r>
          </w:p>
        </w:tc>
      </w:tr>
      <w:tr w:rsidR="001B6C48" w:rsidRPr="00CF6EBC" w14:paraId="2572F8F2" w14:textId="77777777" w:rsidTr="004F4255">
        <w:tc>
          <w:tcPr>
            <w:tcW w:w="9628" w:type="dxa"/>
          </w:tcPr>
          <w:p w14:paraId="28D13464" w14:textId="77777777" w:rsidR="001B6C48" w:rsidRPr="00CF6EBC" w:rsidRDefault="001B6C48" w:rsidP="004F4255">
            <w:pPr>
              <w:ind w:firstLine="0"/>
              <w:rPr>
                <w:b/>
                <w:bCs/>
                <w:i/>
                <w:iCs/>
                <w:sz w:val="20"/>
                <w:szCs w:val="20"/>
                <w:lang w:val="lt-LT"/>
              </w:rPr>
            </w:pPr>
            <w:r w:rsidRPr="00CF6EBC">
              <w:rPr>
                <w:b/>
                <w:bCs/>
                <w:i/>
                <w:iCs/>
                <w:sz w:val="20"/>
                <w:szCs w:val="20"/>
                <w:lang w:val="lt-LT"/>
              </w:rPr>
              <w:t>Atsakymas.</w:t>
            </w:r>
          </w:p>
          <w:p w14:paraId="5AAB93D4" w14:textId="757A13BF" w:rsidR="001B6C48" w:rsidRPr="00605ACB" w:rsidRDefault="00104962" w:rsidP="004F4255">
            <w:pPr>
              <w:ind w:firstLine="0"/>
              <w:rPr>
                <w:sz w:val="20"/>
                <w:szCs w:val="20"/>
                <w:lang w:val="lt-LT"/>
              </w:rPr>
            </w:pPr>
            <w:r>
              <w:rPr>
                <w:sz w:val="20"/>
                <w:szCs w:val="20"/>
                <w:lang w:val="lt-LT"/>
              </w:rPr>
              <w:t>Techninė klaida ištaisyta, patikslintas lentelės Nr. į 4.20 (aiškinamojo rašto 20 psl.).</w:t>
            </w:r>
          </w:p>
          <w:p w14:paraId="035315AB" w14:textId="77777777" w:rsidR="001B6C48" w:rsidRPr="00CF6EBC" w:rsidRDefault="001B6C48" w:rsidP="004F4255">
            <w:pPr>
              <w:ind w:firstLine="0"/>
              <w:rPr>
                <w:sz w:val="20"/>
                <w:szCs w:val="20"/>
                <w:lang w:val="lt-LT"/>
              </w:rPr>
            </w:pPr>
          </w:p>
        </w:tc>
      </w:tr>
      <w:tr w:rsidR="001B6C48" w:rsidRPr="00CF6EBC" w14:paraId="12C6A2AB" w14:textId="77777777" w:rsidTr="004F4255">
        <w:tc>
          <w:tcPr>
            <w:tcW w:w="9628" w:type="dxa"/>
            <w:shd w:val="clear" w:color="auto" w:fill="D9D9D9" w:themeFill="background1" w:themeFillShade="D9"/>
          </w:tcPr>
          <w:p w14:paraId="46C51BC1" w14:textId="1BB5D95D" w:rsidR="001B6C48" w:rsidRPr="00CF6EBC" w:rsidRDefault="001B6C48" w:rsidP="001B6C48">
            <w:pPr>
              <w:ind w:firstLine="0"/>
              <w:rPr>
                <w:b/>
                <w:bCs/>
                <w:sz w:val="20"/>
                <w:szCs w:val="20"/>
                <w:lang w:val="lt-LT"/>
              </w:rPr>
            </w:pPr>
            <w:r>
              <w:rPr>
                <w:b/>
                <w:bCs/>
                <w:sz w:val="20"/>
                <w:szCs w:val="20"/>
                <w:lang w:val="lt-LT"/>
              </w:rPr>
              <w:t xml:space="preserve">4. </w:t>
            </w:r>
            <w:r w:rsidRPr="001B6C48">
              <w:rPr>
                <w:b/>
                <w:bCs/>
                <w:sz w:val="20"/>
                <w:szCs w:val="20"/>
                <w:lang w:val="lt-LT"/>
              </w:rPr>
              <w:t>Atsižvelgiant į 2 punkte pateiktą informaciją aiškinamojo rašto 35 puslapyje prašome</w:t>
            </w:r>
            <w:r>
              <w:rPr>
                <w:b/>
                <w:bCs/>
                <w:sz w:val="20"/>
                <w:szCs w:val="20"/>
                <w:lang w:val="lt-LT"/>
              </w:rPr>
              <w:t xml:space="preserve"> </w:t>
            </w:r>
            <w:r w:rsidRPr="001B6C48">
              <w:rPr>
                <w:b/>
                <w:bCs/>
                <w:sz w:val="20"/>
                <w:szCs w:val="20"/>
                <w:lang w:val="lt-LT"/>
              </w:rPr>
              <w:t>patikslinti informaciją: Įvertinus aplinkos triukšmo monitoringo ekvivalentinio garso slėgio lygio</w:t>
            </w:r>
            <w:r>
              <w:rPr>
                <w:b/>
                <w:bCs/>
                <w:sz w:val="20"/>
                <w:szCs w:val="20"/>
                <w:lang w:val="lt-LT"/>
              </w:rPr>
              <w:t xml:space="preserve"> </w:t>
            </w:r>
            <w:r w:rsidRPr="001B6C48">
              <w:rPr>
                <w:b/>
                <w:bCs/>
                <w:sz w:val="20"/>
                <w:szCs w:val="20"/>
                <w:lang w:val="lt-LT"/>
              </w:rPr>
              <w:t>(vidutinio) duomenis bei kartografavimo duomenis planuojamoje teritorijoje norminis triukšmo lygis</w:t>
            </w:r>
            <w:r>
              <w:rPr>
                <w:b/>
                <w:bCs/>
                <w:sz w:val="20"/>
                <w:szCs w:val="20"/>
                <w:lang w:val="lt-LT"/>
              </w:rPr>
              <w:t xml:space="preserve"> </w:t>
            </w:r>
            <w:r w:rsidRPr="001B6C48">
              <w:rPr>
                <w:b/>
                <w:bCs/>
                <w:sz w:val="20"/>
                <w:szCs w:val="20"/>
                <w:lang w:val="lt-LT"/>
              </w:rPr>
              <w:t>paskutiniais metais planuojame sklype neviršijamas. Įvertinus, kad ankstesniais metais (nurodyti</w:t>
            </w:r>
            <w:r>
              <w:rPr>
                <w:b/>
                <w:bCs/>
                <w:sz w:val="20"/>
                <w:szCs w:val="20"/>
                <w:lang w:val="lt-LT"/>
              </w:rPr>
              <w:t xml:space="preserve"> </w:t>
            </w:r>
            <w:r w:rsidRPr="001B6C48">
              <w:rPr>
                <w:b/>
                <w:bCs/>
                <w:sz w:val="20"/>
                <w:szCs w:val="20"/>
                <w:lang w:val="lt-LT"/>
              </w:rPr>
              <w:t>konkrečius metus, kada nebuvo viršyta) (aplinkos monitoringo duomenimis) buvo norminių lyginių</w:t>
            </w:r>
            <w:r>
              <w:rPr>
                <w:b/>
                <w:bCs/>
                <w:sz w:val="20"/>
                <w:szCs w:val="20"/>
                <w:lang w:val="lt-LT"/>
              </w:rPr>
              <w:t xml:space="preserve"> </w:t>
            </w:r>
            <w:r w:rsidRPr="001B6C48">
              <w:rPr>
                <w:b/>
                <w:bCs/>
                <w:sz w:val="20"/>
                <w:szCs w:val="20"/>
                <w:lang w:val="lt-LT"/>
              </w:rPr>
              <w:t>viršijimas dienos metu bei maksimalaus garso slėgio lygio (vidutinio) viršijimas sekančiose</w:t>
            </w:r>
            <w:r>
              <w:rPr>
                <w:b/>
                <w:bCs/>
                <w:sz w:val="20"/>
                <w:szCs w:val="20"/>
                <w:lang w:val="lt-LT"/>
              </w:rPr>
              <w:t xml:space="preserve">  </w:t>
            </w:r>
            <w:r w:rsidRPr="001B6C48">
              <w:rPr>
                <w:b/>
                <w:bCs/>
                <w:sz w:val="20"/>
                <w:szCs w:val="20"/>
                <w:lang w:val="lt-LT"/>
              </w:rPr>
              <w:t>projektavimo stadijose esant poreikiui (prašome išbraukti „esant poreikiui“, nes tokie tyrimai</w:t>
            </w:r>
            <w:r>
              <w:rPr>
                <w:b/>
                <w:bCs/>
                <w:sz w:val="20"/>
                <w:szCs w:val="20"/>
                <w:lang w:val="lt-LT"/>
              </w:rPr>
              <w:t xml:space="preserve"> </w:t>
            </w:r>
            <w:r w:rsidRPr="001B6C48">
              <w:rPr>
                <w:b/>
                <w:bCs/>
                <w:sz w:val="20"/>
                <w:szCs w:val="20"/>
                <w:lang w:val="lt-LT"/>
              </w:rPr>
              <w:t>reikalingi) tikslinga atlikti papildomus triukšmo matavimus.</w:t>
            </w:r>
          </w:p>
        </w:tc>
      </w:tr>
      <w:tr w:rsidR="001B6C48" w:rsidRPr="00CF6EBC" w14:paraId="69161978" w14:textId="77777777" w:rsidTr="004F4255">
        <w:tc>
          <w:tcPr>
            <w:tcW w:w="9628" w:type="dxa"/>
            <w:shd w:val="clear" w:color="auto" w:fill="FFFFFF" w:themeFill="background1"/>
          </w:tcPr>
          <w:p w14:paraId="695B2EA5" w14:textId="77777777" w:rsidR="001B6C48" w:rsidRPr="00CF6EBC" w:rsidRDefault="001B6C48" w:rsidP="004F4255">
            <w:pPr>
              <w:ind w:firstLine="0"/>
              <w:rPr>
                <w:b/>
                <w:bCs/>
                <w:i/>
                <w:iCs/>
                <w:sz w:val="20"/>
                <w:szCs w:val="20"/>
                <w:lang w:val="lt-LT"/>
              </w:rPr>
            </w:pPr>
            <w:r w:rsidRPr="00CF6EBC">
              <w:rPr>
                <w:b/>
                <w:bCs/>
                <w:i/>
                <w:iCs/>
                <w:sz w:val="20"/>
                <w:szCs w:val="20"/>
                <w:lang w:val="lt-LT"/>
              </w:rPr>
              <w:t>Atsakymas.</w:t>
            </w:r>
          </w:p>
          <w:p w14:paraId="6A195671" w14:textId="43F6B009" w:rsidR="001B6C48" w:rsidRPr="00B87358" w:rsidRDefault="00B87358" w:rsidP="004F4255">
            <w:pPr>
              <w:ind w:firstLine="0"/>
              <w:rPr>
                <w:sz w:val="20"/>
                <w:szCs w:val="20"/>
                <w:lang w:val="lt-LT"/>
              </w:rPr>
            </w:pPr>
            <w:r w:rsidRPr="00B87358">
              <w:rPr>
                <w:sz w:val="20"/>
                <w:szCs w:val="20"/>
                <w:lang w:val="lt-LT"/>
              </w:rPr>
              <w:t>Patikslinta pastraipa aiškinamojo rašto 35 psl.: „</w:t>
            </w:r>
            <w:r w:rsidRPr="00B87358">
              <w:rPr>
                <w:sz w:val="20"/>
                <w:szCs w:val="20"/>
                <w:lang w:val="lt-LT"/>
              </w:rPr>
              <w:t>Įvertinus aplinkos triukšmo monitoringo ekvivalentinio garso slėgio lygio (vidutinio) duomenis bei kartografavimo duomenis planuojamoje teritorijoje norminis triukšmo lygis paskutiniais metais planuojame sklype neviršijamas. Įvertinus, kad ankstesniais metais  (aplinkos monitoringo duomenimis) buvo norminių lyginių viršijimas dienos metu (2018 m. bei 2021 m.) bei maksimalaus garso slėgio lygio (vidutinio) viršijimas (dienos metu – 2018 m., 2019 m., 2021 m., 2022 m.; vakaro metu – 2018 m., 2019 m., 2022 m. bei nakties metu – 2018 m., 2022 m.) sekančiose projektavimo stadijose tikslinga atlikti papildomus triukšmo matavimus.</w:t>
            </w:r>
            <w:r w:rsidRPr="00B87358">
              <w:rPr>
                <w:sz w:val="20"/>
                <w:szCs w:val="20"/>
                <w:lang w:val="lt-LT"/>
              </w:rPr>
              <w:t>“</w:t>
            </w:r>
          </w:p>
        </w:tc>
      </w:tr>
      <w:tr w:rsidR="001B6C48" w:rsidRPr="00CF6EBC" w14:paraId="2491C417" w14:textId="77777777" w:rsidTr="001B6C48">
        <w:tc>
          <w:tcPr>
            <w:tcW w:w="9628" w:type="dxa"/>
            <w:shd w:val="clear" w:color="auto" w:fill="D9D9D9" w:themeFill="background1" w:themeFillShade="D9"/>
          </w:tcPr>
          <w:p w14:paraId="704BBCAA" w14:textId="7D0E0BE9" w:rsidR="001B6C48" w:rsidRPr="00CF6EBC" w:rsidRDefault="001B6C48" w:rsidP="000D4BF3">
            <w:pPr>
              <w:ind w:firstLine="0"/>
              <w:rPr>
                <w:b/>
                <w:bCs/>
                <w:i/>
                <w:iCs/>
                <w:sz w:val="20"/>
                <w:szCs w:val="20"/>
                <w:lang w:val="lt-LT"/>
              </w:rPr>
            </w:pPr>
            <w:r w:rsidRPr="001B6C48">
              <w:rPr>
                <w:b/>
                <w:bCs/>
                <w:sz w:val="20"/>
                <w:szCs w:val="20"/>
                <w:lang w:val="lt-LT"/>
              </w:rPr>
              <w:t xml:space="preserve">5. </w:t>
            </w:r>
            <w:r w:rsidRPr="001B6C48">
              <w:rPr>
                <w:b/>
                <w:bCs/>
                <w:sz w:val="20"/>
                <w:szCs w:val="20"/>
                <w:lang w:val="lt-LT"/>
              </w:rPr>
              <w:t>Prie siūlomų želdinių tvarkymo priemonių ties medžiais „Baltažiedė robinija“ reikia</w:t>
            </w:r>
            <w:r w:rsidR="000D4BF3">
              <w:rPr>
                <w:b/>
                <w:bCs/>
                <w:sz w:val="20"/>
                <w:szCs w:val="20"/>
                <w:lang w:val="lt-LT"/>
              </w:rPr>
              <w:t xml:space="preserve"> </w:t>
            </w:r>
            <w:r w:rsidRPr="001B6C48">
              <w:rPr>
                <w:b/>
                <w:bCs/>
                <w:sz w:val="20"/>
                <w:szCs w:val="20"/>
                <w:lang w:val="lt-LT"/>
              </w:rPr>
              <w:t>nurodyti „kertamas“, nes ši rūšis įtraukta į invazinių rūšių sąrašą. Šios rūšies augalus reikia naikinti.</w:t>
            </w:r>
          </w:p>
        </w:tc>
      </w:tr>
      <w:tr w:rsidR="001B6C48" w:rsidRPr="00CF6EBC" w14:paraId="6C9090FD" w14:textId="77777777" w:rsidTr="004F4255">
        <w:tc>
          <w:tcPr>
            <w:tcW w:w="9628" w:type="dxa"/>
            <w:shd w:val="clear" w:color="auto" w:fill="FFFFFF" w:themeFill="background1"/>
          </w:tcPr>
          <w:p w14:paraId="47EAD5CB" w14:textId="77777777" w:rsidR="001B6C48" w:rsidRPr="00CF6EBC" w:rsidRDefault="001B6C48" w:rsidP="001B6C48">
            <w:pPr>
              <w:ind w:firstLine="0"/>
              <w:rPr>
                <w:b/>
                <w:bCs/>
                <w:i/>
                <w:iCs/>
                <w:sz w:val="20"/>
                <w:szCs w:val="20"/>
                <w:lang w:val="lt-LT"/>
              </w:rPr>
            </w:pPr>
            <w:r w:rsidRPr="00CF6EBC">
              <w:rPr>
                <w:b/>
                <w:bCs/>
                <w:i/>
                <w:iCs/>
                <w:sz w:val="20"/>
                <w:szCs w:val="20"/>
                <w:lang w:val="lt-LT"/>
              </w:rPr>
              <w:t>Atsakymas.</w:t>
            </w:r>
          </w:p>
          <w:p w14:paraId="552E4EC4" w14:textId="5494C93F" w:rsidR="001B6C48" w:rsidRPr="001B6C48" w:rsidRDefault="000D4BF3" w:rsidP="004F4255">
            <w:pPr>
              <w:ind w:firstLine="0"/>
              <w:rPr>
                <w:sz w:val="20"/>
                <w:szCs w:val="20"/>
                <w:lang w:val="lt-LT"/>
              </w:rPr>
            </w:pPr>
            <w:r>
              <w:rPr>
                <w:sz w:val="20"/>
                <w:szCs w:val="20"/>
                <w:lang w:val="lt-LT"/>
              </w:rPr>
              <w:t xml:space="preserve">Detaliojo plano sprendiniuose (pagrindiniame bei inžinerinės infrastruktūros brėžiniuose ir aiškinamojo rašto 19 psl.) „Baltažiedė robinija“ nurodyta kaip kertamas medis. </w:t>
            </w:r>
          </w:p>
        </w:tc>
      </w:tr>
      <w:tr w:rsidR="00C074A0" w:rsidRPr="00CF6EBC" w14:paraId="7C691E26" w14:textId="77777777" w:rsidTr="00D31922">
        <w:trPr>
          <w:trHeight w:val="2419"/>
        </w:trPr>
        <w:tc>
          <w:tcPr>
            <w:tcW w:w="9628" w:type="dxa"/>
            <w:shd w:val="clear" w:color="auto" w:fill="auto"/>
          </w:tcPr>
          <w:p w14:paraId="36A65FE1" w14:textId="77777777" w:rsidR="00C074A0" w:rsidRPr="00CF6EBC" w:rsidRDefault="00C074A0" w:rsidP="00497C2F">
            <w:pPr>
              <w:ind w:firstLine="0"/>
              <w:rPr>
                <w:sz w:val="20"/>
                <w:szCs w:val="20"/>
                <w:lang w:val="lt-LT"/>
              </w:rPr>
            </w:pPr>
          </w:p>
          <w:p w14:paraId="4645BCCF" w14:textId="605939AA" w:rsidR="00C074A0" w:rsidRPr="00CF6EBC" w:rsidRDefault="00C074A0" w:rsidP="00497C2F">
            <w:pPr>
              <w:rPr>
                <w:sz w:val="20"/>
                <w:szCs w:val="20"/>
                <w:lang w:val="lt-LT"/>
              </w:rPr>
            </w:pPr>
          </w:p>
        </w:tc>
      </w:tr>
    </w:tbl>
    <w:p w14:paraId="4406D7D2" w14:textId="77777777" w:rsidR="00997AC5" w:rsidRDefault="00997AC5" w:rsidP="0071323E">
      <w:pPr>
        <w:ind w:firstLine="0"/>
        <w:rPr>
          <w:sz w:val="20"/>
          <w:szCs w:val="20"/>
          <w:lang w:val="lt-LT"/>
        </w:rPr>
      </w:pPr>
    </w:p>
    <w:tbl>
      <w:tblPr>
        <w:tblStyle w:val="TableGrid"/>
        <w:tblW w:w="0" w:type="auto"/>
        <w:tblLook w:val="04A0" w:firstRow="1" w:lastRow="0" w:firstColumn="1" w:lastColumn="0" w:noHBand="0" w:noVBand="1"/>
      </w:tblPr>
      <w:tblGrid>
        <w:gridCol w:w="9402"/>
      </w:tblGrid>
      <w:tr w:rsidR="00C074A0" w:rsidRPr="00CF6EBC" w14:paraId="52ECA910" w14:textId="77777777" w:rsidTr="008E45A2">
        <w:tc>
          <w:tcPr>
            <w:tcW w:w="9402" w:type="dxa"/>
          </w:tcPr>
          <w:p w14:paraId="16D70BCE" w14:textId="77777777" w:rsidR="00C074A0" w:rsidRPr="00CF6EBC" w:rsidRDefault="00C074A0" w:rsidP="008E45A2">
            <w:pPr>
              <w:ind w:firstLine="0"/>
              <w:rPr>
                <w:i/>
                <w:iCs/>
                <w:sz w:val="20"/>
                <w:szCs w:val="20"/>
                <w:lang w:val="lt-LT"/>
              </w:rPr>
            </w:pPr>
            <w:r w:rsidRPr="00CF6EBC">
              <w:rPr>
                <w:i/>
                <w:iCs/>
                <w:sz w:val="20"/>
                <w:szCs w:val="20"/>
                <w:lang w:val="lt-LT"/>
              </w:rPr>
              <w:t>Įvertinant tai, kad Detaliojo plano koregavimo sprendiniai, papildyti / patikslinti pagal derinančių institucijų pastabas, nekito iš esmės, teritorijų planavimo dokumentas pakartotinai viešai svarstyti neteikiamas, vadovaujantis Lietuvos Respublikos teritorijų planavimo įstatymo 37 straipsnio 3 ir 4 dalies nuostatomis.“</w:t>
            </w:r>
          </w:p>
        </w:tc>
      </w:tr>
    </w:tbl>
    <w:p w14:paraId="0DC3094A" w14:textId="77777777" w:rsidR="00C074A0" w:rsidRPr="00CF6EBC" w:rsidRDefault="00C074A0" w:rsidP="0071323E">
      <w:pPr>
        <w:ind w:firstLine="0"/>
        <w:rPr>
          <w:sz w:val="20"/>
          <w:szCs w:val="20"/>
          <w:lang w:val="lt-LT"/>
        </w:rPr>
      </w:pPr>
    </w:p>
    <w:p w14:paraId="6FB322AA" w14:textId="77777777" w:rsidR="00997AC5" w:rsidRPr="00CF6EBC" w:rsidRDefault="00997AC5" w:rsidP="0071323E">
      <w:pPr>
        <w:ind w:firstLine="0"/>
        <w:rPr>
          <w:sz w:val="20"/>
          <w:szCs w:val="20"/>
          <w:lang w:val="lt-LT"/>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752"/>
        <w:gridCol w:w="2886"/>
      </w:tblGrid>
      <w:tr w:rsidR="00BD59F3" w:rsidRPr="00CF6EBC" w14:paraId="1AAE081B" w14:textId="77777777" w:rsidTr="0052034B">
        <w:trPr>
          <w:jc w:val="right"/>
        </w:trPr>
        <w:tc>
          <w:tcPr>
            <w:tcW w:w="6752" w:type="dxa"/>
          </w:tcPr>
          <w:p w14:paraId="3E0059DB" w14:textId="0463982B" w:rsidR="00BD59F3" w:rsidRPr="00CF6EBC" w:rsidRDefault="00BD59F3" w:rsidP="00D33BFB">
            <w:pPr>
              <w:tabs>
                <w:tab w:val="left" w:pos="3870"/>
              </w:tabs>
              <w:ind w:firstLine="0"/>
              <w:rPr>
                <w:sz w:val="20"/>
                <w:szCs w:val="20"/>
                <w:lang w:val="lt-LT"/>
              </w:rPr>
            </w:pPr>
            <w:r w:rsidRPr="00CF6EBC">
              <w:rPr>
                <w:sz w:val="20"/>
                <w:szCs w:val="20"/>
                <w:lang w:val="lt-LT"/>
              </w:rPr>
              <w:t>Projekto vadovė</w:t>
            </w:r>
          </w:p>
        </w:tc>
        <w:tc>
          <w:tcPr>
            <w:tcW w:w="2886" w:type="dxa"/>
          </w:tcPr>
          <w:p w14:paraId="2E840B30" w14:textId="7F4AFBE5" w:rsidR="00BD59F3" w:rsidRPr="00CF6EBC" w:rsidRDefault="00BD59F3" w:rsidP="00D33BFB">
            <w:pPr>
              <w:tabs>
                <w:tab w:val="left" w:pos="3870"/>
              </w:tabs>
              <w:ind w:firstLine="0"/>
              <w:jc w:val="right"/>
              <w:rPr>
                <w:sz w:val="20"/>
                <w:szCs w:val="20"/>
                <w:lang w:val="lt-LT"/>
              </w:rPr>
            </w:pPr>
            <w:r w:rsidRPr="00CF6EBC">
              <w:rPr>
                <w:sz w:val="20"/>
                <w:szCs w:val="20"/>
              </w:rPr>
              <w:t>Lina Panavaitė</w:t>
            </w:r>
          </w:p>
        </w:tc>
      </w:tr>
    </w:tbl>
    <w:p w14:paraId="42D86522" w14:textId="626258C8" w:rsidR="00254D12" w:rsidRPr="00CF6EBC" w:rsidRDefault="00254D12" w:rsidP="00BD59F3">
      <w:pPr>
        <w:ind w:firstLine="0"/>
        <w:rPr>
          <w:sz w:val="20"/>
          <w:szCs w:val="20"/>
          <w:lang w:val="lt-LT"/>
        </w:rPr>
      </w:pPr>
    </w:p>
    <w:sectPr w:rsidR="00254D12" w:rsidRPr="00CF6EBC" w:rsidSect="00E37498">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C3"/>
    <w:rsid w:val="000A6A04"/>
    <w:rsid w:val="000D4BF3"/>
    <w:rsid w:val="000E453D"/>
    <w:rsid w:val="000F27FF"/>
    <w:rsid w:val="00104962"/>
    <w:rsid w:val="00126F88"/>
    <w:rsid w:val="001566B6"/>
    <w:rsid w:val="001B6C48"/>
    <w:rsid w:val="001C0F27"/>
    <w:rsid w:val="001E3CA3"/>
    <w:rsid w:val="00212B08"/>
    <w:rsid w:val="00215DAC"/>
    <w:rsid w:val="002326B8"/>
    <w:rsid w:val="00254CE2"/>
    <w:rsid w:val="00254D12"/>
    <w:rsid w:val="00263524"/>
    <w:rsid w:val="002D463F"/>
    <w:rsid w:val="0034288A"/>
    <w:rsid w:val="0036052F"/>
    <w:rsid w:val="003D30EE"/>
    <w:rsid w:val="003E438A"/>
    <w:rsid w:val="003E5E00"/>
    <w:rsid w:val="00422C94"/>
    <w:rsid w:val="0042423F"/>
    <w:rsid w:val="00463266"/>
    <w:rsid w:val="0049383D"/>
    <w:rsid w:val="00497C2F"/>
    <w:rsid w:val="004C5581"/>
    <w:rsid w:val="004E2B79"/>
    <w:rsid w:val="004F059D"/>
    <w:rsid w:val="0052034B"/>
    <w:rsid w:val="00556846"/>
    <w:rsid w:val="005758D5"/>
    <w:rsid w:val="00595E5C"/>
    <w:rsid w:val="0059679D"/>
    <w:rsid w:val="005D2EE3"/>
    <w:rsid w:val="005F3E0D"/>
    <w:rsid w:val="006006E0"/>
    <w:rsid w:val="00605ACB"/>
    <w:rsid w:val="00634D34"/>
    <w:rsid w:val="00661C8B"/>
    <w:rsid w:val="00664821"/>
    <w:rsid w:val="0068002D"/>
    <w:rsid w:val="006C35F9"/>
    <w:rsid w:val="006D2487"/>
    <w:rsid w:val="006F3D00"/>
    <w:rsid w:val="0070009D"/>
    <w:rsid w:val="0071323E"/>
    <w:rsid w:val="00731A4C"/>
    <w:rsid w:val="00737BF3"/>
    <w:rsid w:val="00793797"/>
    <w:rsid w:val="007D5085"/>
    <w:rsid w:val="007D7A99"/>
    <w:rsid w:val="007F2590"/>
    <w:rsid w:val="007F381A"/>
    <w:rsid w:val="00803C9B"/>
    <w:rsid w:val="0081252B"/>
    <w:rsid w:val="008133E6"/>
    <w:rsid w:val="00830A8D"/>
    <w:rsid w:val="00830F88"/>
    <w:rsid w:val="00855F54"/>
    <w:rsid w:val="00895ADD"/>
    <w:rsid w:val="008B5CAF"/>
    <w:rsid w:val="008D4E33"/>
    <w:rsid w:val="0091334A"/>
    <w:rsid w:val="00950CCB"/>
    <w:rsid w:val="00952554"/>
    <w:rsid w:val="00990B82"/>
    <w:rsid w:val="00993AC3"/>
    <w:rsid w:val="00997AC5"/>
    <w:rsid w:val="00A065C3"/>
    <w:rsid w:val="00A071BD"/>
    <w:rsid w:val="00A21BD2"/>
    <w:rsid w:val="00A30D47"/>
    <w:rsid w:val="00A37E68"/>
    <w:rsid w:val="00A37ED2"/>
    <w:rsid w:val="00A56146"/>
    <w:rsid w:val="00A62562"/>
    <w:rsid w:val="00A710A7"/>
    <w:rsid w:val="00A91CDA"/>
    <w:rsid w:val="00AA2CCE"/>
    <w:rsid w:val="00AC5529"/>
    <w:rsid w:val="00B53D6A"/>
    <w:rsid w:val="00B67269"/>
    <w:rsid w:val="00B725D7"/>
    <w:rsid w:val="00B74723"/>
    <w:rsid w:val="00B76024"/>
    <w:rsid w:val="00B87358"/>
    <w:rsid w:val="00BD59F3"/>
    <w:rsid w:val="00BF0A96"/>
    <w:rsid w:val="00BF4103"/>
    <w:rsid w:val="00C074A0"/>
    <w:rsid w:val="00C0764C"/>
    <w:rsid w:val="00C1249B"/>
    <w:rsid w:val="00C16C2B"/>
    <w:rsid w:val="00C36337"/>
    <w:rsid w:val="00C648C7"/>
    <w:rsid w:val="00C6797E"/>
    <w:rsid w:val="00C95F13"/>
    <w:rsid w:val="00CB0E49"/>
    <w:rsid w:val="00CB6AD0"/>
    <w:rsid w:val="00CD5D3C"/>
    <w:rsid w:val="00CF6EBC"/>
    <w:rsid w:val="00D110AD"/>
    <w:rsid w:val="00D273FB"/>
    <w:rsid w:val="00D64EE2"/>
    <w:rsid w:val="00DE296E"/>
    <w:rsid w:val="00DE35DB"/>
    <w:rsid w:val="00E03999"/>
    <w:rsid w:val="00E10075"/>
    <w:rsid w:val="00E37498"/>
    <w:rsid w:val="00E426A0"/>
    <w:rsid w:val="00E9583F"/>
    <w:rsid w:val="00ED2FAD"/>
    <w:rsid w:val="00ED5697"/>
    <w:rsid w:val="00EE0F10"/>
    <w:rsid w:val="00F04C53"/>
    <w:rsid w:val="00F41C6F"/>
    <w:rsid w:val="00F42933"/>
    <w:rsid w:val="00FA4962"/>
    <w:rsid w:val="00FC3629"/>
    <w:rsid w:val="00FC72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01FF"/>
  <w15:chartTrackingRefBased/>
  <w15:docId w15:val="{1CD1E8B5-84C5-4F07-9B2C-60D015583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9F3"/>
    <w:pPr>
      <w:ind w:firstLine="567"/>
      <w:jc w:val="both"/>
    </w:pPr>
    <w:rPr>
      <w:rFonts w:ascii="Arial Nova Light" w:hAnsi="Arial Nova Light"/>
      <w:lang w:val="en-US"/>
    </w:rPr>
  </w:style>
  <w:style w:type="paragraph" w:styleId="Heading1">
    <w:name w:val="heading 1"/>
    <w:basedOn w:val="Normal"/>
    <w:next w:val="Normal"/>
    <w:link w:val="Heading1Char"/>
    <w:uiPriority w:val="9"/>
    <w:qFormat/>
    <w:rsid w:val="00A30D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59F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30D47"/>
    <w:rPr>
      <w:rFonts w:asciiTheme="majorHAnsi" w:eastAsiaTheme="majorEastAsia" w:hAnsiTheme="majorHAnsi" w:cstheme="majorBidi"/>
      <w:color w:val="2F5496" w:themeColor="accent1" w:themeShade="BF"/>
      <w:sz w:val="32"/>
      <w:szCs w:val="32"/>
      <w:lang w:val="en-US"/>
    </w:rPr>
  </w:style>
  <w:style w:type="paragraph" w:styleId="Subtitle">
    <w:name w:val="Subtitle"/>
    <w:basedOn w:val="Normal"/>
    <w:next w:val="Normal"/>
    <w:link w:val="SubtitleChar"/>
    <w:uiPriority w:val="11"/>
    <w:qFormat/>
    <w:rsid w:val="00A30D47"/>
    <w:pPr>
      <w:numPr>
        <w:ilvl w:val="1"/>
      </w:numPr>
      <w:ind w:firstLine="567"/>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A30D47"/>
    <w:rPr>
      <w:rFonts w:eastAsiaTheme="minorEastAsia"/>
      <w:color w:val="5A5A5A" w:themeColor="text1" w:themeTint="A5"/>
      <w:spacing w:val="15"/>
      <w:lang w:val="en-US"/>
    </w:rPr>
  </w:style>
  <w:style w:type="character" w:styleId="SubtleEmphasis">
    <w:name w:val="Subtle Emphasis"/>
    <w:basedOn w:val="DefaultParagraphFont"/>
    <w:uiPriority w:val="19"/>
    <w:qFormat/>
    <w:rsid w:val="00A30D4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5894">
      <w:bodyDiv w:val="1"/>
      <w:marLeft w:val="0"/>
      <w:marRight w:val="0"/>
      <w:marTop w:val="0"/>
      <w:marBottom w:val="0"/>
      <w:divBdr>
        <w:top w:val="none" w:sz="0" w:space="0" w:color="auto"/>
        <w:left w:val="none" w:sz="0" w:space="0" w:color="auto"/>
        <w:bottom w:val="none" w:sz="0" w:space="0" w:color="auto"/>
        <w:right w:val="none" w:sz="0" w:space="0" w:color="auto"/>
      </w:divBdr>
    </w:div>
    <w:div w:id="134848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3</Pages>
  <Words>6095</Words>
  <Characters>3475</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Lina Panavaitė | Quinary urbana</cp:lastModifiedBy>
  <cp:revision>11</cp:revision>
  <cp:lastPrinted>2022-11-18T06:25:00Z</cp:lastPrinted>
  <dcterms:created xsi:type="dcterms:W3CDTF">2023-09-12T20:21:00Z</dcterms:created>
  <dcterms:modified xsi:type="dcterms:W3CDTF">2024-03-12T11:46:00Z</dcterms:modified>
</cp:coreProperties>
</file>